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1690-8k_tigo.htm"/>
      <w:bookmarkStart w:id="1" w:name="ksea02916908k_tig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51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May 19,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TIGO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6_edei--EntityFileNumber_c20260519"/>
            <w:bookmarkEnd w:id="6"/>
            <w:r>
              <w:rPr>
                <w:b/>
                <w:sz w:val="20"/>
              </w:rPr>
              <w:t>001-40710</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83-3583873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655 Campbell Technology Parkway, </w:t>
      </w:r>
      <w:bookmarkStart w:id="9" w:name="xdx_90F_edei--EntityAddressAddressLine2_"/>
      <w:bookmarkEnd w:id="9"/>
      <w:r>
        <w:rPr>
          <w:rFonts w:ascii="Times New Roman;Times;Serif" w:hAnsi="Times New Roman;Times;Serif"/>
          <w:b/>
          <w:i w:val="false"/>
          <w:caps w:val="false"/>
          <w:smallCaps w:val="false"/>
          <w:sz w:val="20"/>
        </w:rPr>
        <w:t>Suite 150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Campbell, </w:t>
      </w:r>
      <w:bookmarkStart w:id="11" w:name="xdx_90C_edei--EntityAddressStateOrProvin"/>
      <w:bookmarkEnd w:id="11"/>
      <w:r>
        <w:rPr>
          <w:rFonts w:ascii="Times New Roman;Times;Serif" w:hAnsi="Times New Roman;Times;Serif"/>
          <w:b/>
          <w:i w:val="false"/>
          <w:caps w:val="false"/>
          <w:smallCaps w:val="false"/>
          <w:sz w:val="20"/>
        </w:rPr>
        <w:t xml:space="preserve">California </w:t>
      </w:r>
      <w:bookmarkStart w:id="12" w:name="xdx_903_edei--EntityAddressPostalZipCode"/>
      <w:bookmarkEnd w:id="12"/>
      <w:r>
        <w:rPr>
          <w:rFonts w:ascii="Times New Roman;Times;Serif" w:hAnsi="Times New Roman;Times;Serif"/>
          <w:b/>
          <w:i w:val="false"/>
          <w:caps w:val="false"/>
          <w:smallCaps w:val="false"/>
          <w:sz w:val="20"/>
        </w:rPr>
        <w:t>95008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w:t>
      </w:r>
      <w:bookmarkStart w:id="13" w:name="xdx_901_edei--CityAreaCode_c20260519__20"/>
      <w:bookmarkEnd w:id="13"/>
      <w:r>
        <w:rPr>
          <w:rFonts w:ascii="Times New Roman;Times;Serif" w:hAnsi="Times New Roman;Times;Serif"/>
          <w:b/>
          <w:i w:val="false"/>
          <w:caps w:val="false"/>
          <w:smallCaps w:val="false"/>
          <w:sz w:val="20"/>
        </w:rPr>
        <w:t xml:space="preserve">408) </w:t>
      </w:r>
      <w:bookmarkStart w:id="14" w:name="xdx_90E_edei--LocalPhoneNumber_c20260519"/>
      <w:bookmarkEnd w:id="14"/>
      <w:r>
        <w:rPr>
          <w:rFonts w:ascii="Times New Roman;Times;Serif" w:hAnsi="Times New Roman;Times;Serif"/>
          <w:b/>
          <w:i w:val="false"/>
          <w:caps w:val="false"/>
          <w:smallCaps w:val="false"/>
          <w:sz w:val="20"/>
        </w:rPr>
        <w:t>402-0802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05"/>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755"/>
        <w:gridCol w:w="60"/>
        <w:gridCol w:w="1610"/>
        <w:gridCol w:w="60"/>
        <w:gridCol w:w="3710"/>
      </w:tblGrid>
      <w:tr>
        <w:trPr/>
        <w:tc>
          <w:tcPr>
            <w:tcW w:w="375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755" w:type="dxa"/>
            <w:tcBorders/>
            <w:shd w:fill="CCEEFF" w:val="clear"/>
            <w:tcMar>
              <w:bottom w:w="0" w:type="dxa"/>
            </w:tcMar>
            <w:vAlign w:val="center"/>
          </w:tcPr>
          <w:p>
            <w:pPr>
              <w:pStyle w:val="TableContents"/>
              <w:bidi w:val="0"/>
              <w:spacing w:before="0" w:after="283"/>
              <w:jc w:val="center"/>
              <w:rPr>
                <w:b/>
                <w:sz w:val="20"/>
              </w:rPr>
            </w:pPr>
            <w:bookmarkStart w:id="19" w:name="xdx_90C_edei--Security12bTitle_c20260519"/>
            <w:bookmarkEnd w:id="19"/>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20" w:name="xdx_904_edei--TradingSymbol_c20260519__2"/>
            <w:bookmarkEnd w:id="20"/>
            <w:r>
              <w:rPr>
                <w:b/>
                <w:sz w:val="20"/>
              </w:rPr>
              <w:t>TYGO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8_edei--SecurityExchangeName_c2026"/>
            <w:bookmarkEnd w:id="21"/>
            <w:r>
              <w:rPr>
                <w:b/>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1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Tigo Energy, Inc. (the “Company”) held its 2026 Annual Meeting of Stockholders (the “Annual Meeting”). Set forth below are the voting results of the three proposals considered and voted upon at the Annual Meeting, which were described in the Company’s definitive proxy statement on Schedule 14A filed with the Securities and Exchange Commission (the “SEC”) on April 6,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No. 1 </w:t>
      </w:r>
      <w:r>
        <w:rPr>
          <w:rFonts w:ascii="Times New Roman;Times;Serif" w:hAnsi="Times New Roman;Times;Serif"/>
          <w:b w:val="false"/>
          <w:i w:val="false"/>
          <w:caps w:val="false"/>
          <w:smallCaps w:val="false"/>
          <w:sz w:val="20"/>
        </w:rPr>
        <w:t>- To elect seven director nominees to hold office until the 2027 Annual Meeting of Stockholders.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1595"/>
        <w:gridCol w:w="60"/>
        <w:gridCol w:w="60"/>
        <w:gridCol w:w="1100"/>
        <w:gridCol w:w="60"/>
        <w:gridCol w:w="60"/>
        <w:gridCol w:w="60"/>
        <w:gridCol w:w="1100"/>
        <w:gridCol w:w="60"/>
        <w:gridCol w:w="60"/>
        <w:gridCol w:w="60"/>
        <w:gridCol w:w="1100"/>
        <w:gridCol w:w="75"/>
      </w:tblGrid>
      <w:tr>
        <w:trPr/>
        <w:tc>
          <w:tcPr>
            <w:tcW w:w="1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Broker</w:t>
              <w:br/>
              <w:t>Non-Votes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both"/>
              <w:rPr/>
            </w:pPr>
            <w:r>
              <w:rPr/>
              <w:t>Zvi Alon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50,064,096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10,001,846</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both"/>
              <w:rPr/>
            </w:pPr>
            <w:r>
              <w:rPr/>
              <w:t>Tomer Babai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35,756,090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14,348,224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10,001,846</w:t>
            </w:r>
          </w:p>
        </w:tc>
        <w:tc>
          <w:tcPr>
            <w:tcW w:w="7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both"/>
              <w:rPr/>
            </w:pPr>
            <w:r>
              <w:rPr/>
              <w:t>Joan C. Conley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48,055,149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2,049,165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10,001,846</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both"/>
              <w:rPr/>
            </w:pPr>
            <w:r>
              <w:rPr/>
              <w:t>Sagit Manor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49,989,762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10,001,846</w:t>
            </w:r>
          </w:p>
        </w:tc>
        <w:tc>
          <w:tcPr>
            <w:tcW w:w="7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both"/>
              <w:rPr/>
            </w:pPr>
            <w:r>
              <w:rPr/>
              <w:t>Michael Splinter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47,275,149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2,829,165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10,001,846</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both"/>
              <w:rPr/>
            </w:pPr>
            <w:r>
              <w:rPr/>
              <w:t>Stanley Stern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48,328,706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1,775,608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10,001,846</w:t>
            </w:r>
          </w:p>
        </w:tc>
        <w:tc>
          <w:tcPr>
            <w:tcW w:w="7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both"/>
              <w:rPr/>
            </w:pPr>
            <w:r>
              <w:rPr/>
              <w:t>John Wilson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48,660,445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1,443,869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10,001,846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No. 2 </w:t>
      </w:r>
      <w:r>
        <w:rPr>
          <w:rFonts w:ascii="Times New Roman;Times;Serif" w:hAnsi="Times New Roman;Times;Serif"/>
          <w:b w:val="false"/>
          <w:i w:val="false"/>
          <w:caps w:val="false"/>
          <w:smallCaps w:val="false"/>
          <w:sz w:val="20"/>
        </w:rPr>
        <w:t>- To ratify the appointment of Deloitte &amp; Touche LLP as the Company’s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28" w:type="dxa"/>
          <w:right w:w="0" w:type="dxa"/>
        </w:tblCellMar>
      </w:tblPr>
      <w:tblGrid>
        <w:gridCol w:w="965"/>
        <w:gridCol w:w="60"/>
        <w:gridCol w:w="800"/>
        <w:gridCol w:w="60"/>
        <w:gridCol w:w="815"/>
        <w:gridCol w:w="60"/>
        <w:gridCol w:w="1910"/>
      </w:tblGrid>
      <w:tr>
        <w:trPr/>
        <w:tc>
          <w:tcPr>
            <w:tcW w:w="96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59,610,990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sz w:val="20"/>
              </w:rPr>
            </w:pPr>
            <w:r>
              <w:rPr>
                <w:sz w:val="20"/>
              </w:rPr>
              <w:t>14,374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480,796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sz w:val="20"/>
              </w:rPr>
            </w:pPr>
            <w:r>
              <w:rPr>
                <w:sz w:val="20"/>
              </w:rPr>
              <w:t>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No. 3 </w:t>
      </w:r>
      <w:r>
        <w:rPr>
          <w:rFonts w:ascii="Times New Roman;Times;Serif" w:hAnsi="Times New Roman;Times;Serif"/>
          <w:b w:val="false"/>
          <w:i w:val="false"/>
          <w:caps w:val="false"/>
          <w:smallCaps w:val="false"/>
          <w:sz w:val="20"/>
        </w:rPr>
        <w:t>- To approve the Tigo Energy, Inc. Employee Stock Purchase Plan.</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28" w:type="dxa"/>
          <w:right w:w="0" w:type="dxa"/>
        </w:tblCellMar>
      </w:tblPr>
      <w:tblGrid>
        <w:gridCol w:w="965"/>
        <w:gridCol w:w="60"/>
        <w:gridCol w:w="800"/>
        <w:gridCol w:w="60"/>
        <w:gridCol w:w="815"/>
        <w:gridCol w:w="60"/>
        <w:gridCol w:w="1910"/>
      </w:tblGrid>
      <w:tr>
        <w:trPr/>
        <w:tc>
          <w:tcPr>
            <w:tcW w:w="96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50,046,791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sz w:val="20"/>
              </w:rPr>
            </w:pPr>
            <w:r>
              <w:rPr>
                <w:sz w:val="20"/>
              </w:rPr>
              <w:t>2,478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55,045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sz w:val="20"/>
              </w:rPr>
            </w:pPr>
            <w:r>
              <w:rPr>
                <w:sz w:val="20"/>
              </w:rPr>
              <w:t>10,001,846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20, 2026</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b/>
              </w:rPr>
            </w:pPr>
            <w:r>
              <w:rPr>
                <w:b/>
              </w:rPr>
              <w:t>TIGO ENERGY, INC.</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Bill Roeschlein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551</Words>
  <Characters>3074</Characters>
  <CharactersWithSpaces>3660</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