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Tigo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88675P103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88675P103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L1 Energy Capital Management S.a.r.l.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LUXEMBOURG</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88675P103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L1 New Energy GrowthCo S.a.r.l.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88675P103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L1 New Energy HeadCo S.a.r.l.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88675P103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Letterone Holdings S.A.</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ectPr>
          <w:pgSz w:w="11900" w:h="16838" w:orient="portrait"/>
          <w:cols w:equalWidth="0" w:num="2">
            <w:col w:w="1060" w:space="60"/>
            <w:col w:w="9860"/>
          </w:cols>
          <w:pgMar w:left="360" w:top="126" w:right="5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Tigo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983 University Avenue, Suite B, Los Gatos, California, 95032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500"/>
        <w:spacing w:after="0" w:line="253" w:lineRule="auto"/>
        <w:rPr>
          <w:sz w:val="20"/>
          <w:szCs w:val="20"/>
          <w:color w:val="auto"/>
        </w:rPr>
      </w:pPr>
      <w:r>
        <w:rPr>
          <w:rFonts w:ascii="Times New Roman" w:cs="Times New Roman" w:eastAsia="Times New Roman" w:hAnsi="Times New Roman"/>
          <w:sz w:val="21"/>
          <w:szCs w:val="21"/>
          <w:color w:val="auto"/>
        </w:rPr>
        <w:t>This statement is being filed by: (i) L1 Energy Capital Management S.a.r.l. ("L1 Energy"), (ii) L1 New Energy GrowthCo S.a.r.l. ("L1 GrowthCo"), (iii) L1 New Energy HeadCo S.a.r.l. ("L1 HeadCo"), and (iv) Letterone</w:t>
      </w:r>
    </w:p>
    <w:p>
      <w:pPr>
        <w:spacing w:after="0" w:line="1" w:lineRule="exact"/>
        <w:rPr>
          <w:sz w:val="20"/>
          <w:szCs w:val="20"/>
          <w:color w:val="auto"/>
        </w:rPr>
      </w:pPr>
    </w:p>
    <w:p>
      <w:pPr>
        <w:ind w:left="9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S.A. ("L1 Holdings" and, together with L1 Energy, L1 GrowthCo and L1 HeadCo, the "Reporting Persons"). L1 GrowthCo is the sole owner of L1 Energy, L1 HeadCo is the majority owner of L1 GrowthCo, and L1 Holdings is the majority owner of L1 HeadCo. Each of Neil Toyer and Barry O'Dwyer serves as a director of L1 Energy. This statement relates to the Common Stock, par value $0.0001 per share ("Shares"), of Tigo Energy, Inc. (the "Issuer").</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principal business office of each Reporting Person is 161, Rue du Kiem, L-8030 Strassen, Luxembourg.</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14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L1 Energy is a Luxembourg company (a societe a responsabilite limitee), (ii) L1 GrowthCo is a Luxembourg company (a societe a responsabilite limitee), (iii) L1 HeadCo is a Luxembourg company (a societe a responsabilite limitee), and (iv) L1 Holdings is a Luxembourg company (a societe anonyme).</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0980"/>
          </w:cols>
          <w:pgMar w:left="360" w:top="126" w:right="55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88675P103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As of December 31, 2025, the Reporting Persons did not beneficially own any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As of December 31, 2025, the Reporting Persons beneficially owned 0% of the Issuer's outstanding Shares.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920"/>
          </w:cols>
          <w:pgMar w:left="360" w:top="112" w:right="6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December 31, 2025, the Reporting Persons had sole power to vote or direct the vote of 0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December 31, 2025, the Reporting Persons had shared power to vote or direct the vote of 0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December 31, 2025, the Reporting Persons had sole power to dispose or direct the disposition of 0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of December 31, 2025, the Reporting Persons had shared power to dispose or direct the disposition of 0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2">
            <w:col w:w="720" w:space="200"/>
            <w:col w:w="10000"/>
          </w:cols>
          <w:pgMar w:left="360" w:top="112" w:right="619" w:bottom="0" w:gutter="0" w:footer="0" w:header="0"/>
          <w:type w:val="continuous"/>
        </w:sectPr>
      </w:pPr>
    </w:p>
    <w:bookmarkStart w:id="5" w:name="page6"/>
    <w:bookmarkEnd w:id="5"/>
    <w:p>
      <w:pPr>
        <w:ind w:left="72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L1 Energy Capital Management S.a.r.l.</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Barry O'Dwyer</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Barry O'Dwyer/ Manager</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L1 New Energy GrowthCo S.a.r.l.</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Barry O'Dwyer</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Barry O'Dwyer/ Manager</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L1 New Energy HeadCo S.a.r.l.</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Barry O'Dwyer</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Barry O'Dwyer/ Manager</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Letterone Holdings S.A.</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Barry O'Dwyer</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Name/Title: Barry O'Dwyer/ Proxyholder</w:t>
      </w:r>
    </w:p>
    <w:p>
      <w:pPr>
        <w:spacing w:after="0" w:line="44"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01/29/2026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2026-01-29T12:18:59Z</dcterms:created>
  <dcterms:modified xsi:type="dcterms:W3CDTF">2026-01-29T12:18:59Z</dcterms:modified>
</cp:coreProperties>
</file>