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333-282013</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(To Prospectus dated September 17,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3030855</wp:posOffset>
            </wp:positionH>
            <wp:positionV relativeFrom="paragraph">
              <wp:posOffset>142875</wp:posOffset>
            </wp:positionV>
            <wp:extent cx="1054100" cy="4540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54100" cy="4540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$14,221,459</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into an At The Market Offering Agreement (the “ATM Agreement”) with Craig-Hallum Capital Group LLC (the “Sales Agent” or “Craig-Hallum”), dated November 26, 2024, relating to the sale of our common stock, par value $0.0001 per share (the “common stock”), offered by this prospectus supplement and the accompanying prospectus. In accordance with the terms of the ATM Agreement, under this prospectus supplement, we may offer and sell shares of our common stock having an aggregate offering price of up to $14,221,459 from time to time through the Sales Agent.</w:t>
      </w:r>
    </w:p>
    <w:p>
      <w:pPr>
        <w:spacing w:after="0" w:line="180"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shares of common stock are listed on the Nasdaq Stock Market (“Nasdaq”) under the symbol “TYGO.” On November 25, 2024, the closing sale price of shares of our common stock was $1.02.</w:t>
      </w:r>
    </w:p>
    <w:p>
      <w:pPr>
        <w:spacing w:after="0" w:line="162"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the offering limits in General Instruction I.B.6 of Form S-3. As of the date of this prospectus supplement, the aggregate market value of our outstanding common stock held by non-affiliates was approximately $42,878,573, which was calculated based on 25,222,690 shares of outstanding common stock held by non-affiliates, at a price per share of $1.70, the closing price of our common stock on September 30, 2024, the highest closing price of the Company’s common stock on Nasdaq during the preceding 60 day trading period. Pursuant to General Instruction I.B.6 of Form S-3, in no event will we sell the securities described in this prospectus supplement in a public primary offering with a value exceeding more than one-third (1/3) of the aggregate market value of our common stock held by non-affiliates in any 12-month period, so long as the aggregate market value of our outstanding common stock held by non-affiliates remains below $75,000,000. During the 12 calendar months prior to and including the date of this prospectus supplement, we have offered a total of $71,398 worth of securities pursuant to General Instruction I.B.6 of Form S-3.</w:t>
      </w:r>
    </w:p>
    <w:p>
      <w:pPr>
        <w:spacing w:after="0" w:line="192"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the limitations on the maximum amount of shares that we are eligible to offer and sell under General Instruction I.B.6 of Form S-3, we may currently only offer and sell shares of our common stock having an aggregate offering price of up to $14,221,459 pursuant to the ATM Agreement. However, in the event that our public float increases or decreases, we may sell securities in public primary offerings on Form S-3 with a value up to one-third of our public float, in each case calculated pursuant to General Instruction I.B.6 and subject to the terms of the ATM Agreement. In the event that our public float increases above $75.0 million, we will no longer be subject to the limits in General Instruction I.B.6 of Form S-3.</w:t>
      </w:r>
    </w:p>
    <w:p>
      <w:pPr>
        <w:spacing w:after="0" w:line="183"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of our common stock, if any, under this prospectus supplement will be made by any method permitted that is deemed an “at the market offering” as defined in Rule 415(a)(4) under the Securities Act of 1933, as amended (the “Securities Act”). The Sales Agent is not required to sell any specific amount, but will act as our sales agent using commercially reasonable efforts consistent with its normal trading and sales practices to sell on our behalf all of the shares of common stock requested to be sold by us, on mutually agreed terms between the Sales Agent and us. There is no arrangement for funds to be received in any escrow, trust or similar arrangement.</w:t>
      </w:r>
    </w:p>
    <w:p>
      <w:pPr>
        <w:spacing w:after="0" w:line="183" w:lineRule="exact"/>
        <w:rPr>
          <w:sz w:val="24"/>
          <w:szCs w:val="24"/>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compensation to the Sales Agent for sales of common stock sold pursuant to the ATM Agreement will be up to 3.0% of the gross proceeds of any shares of common stock sold under the ATM Agreement. In connection with the sale of the common stock on our behalf, the Sales Agent may be deemed to be an “underwriter” within the meaning of the Securities Act and the compensation of the Sales Agent may be deemed to be underwriting commissions or discounts. See “Plan of Distribution” beginning on page S-10 for additional information regarding the compensation to be paid to the Sales Agent. We have also agreed to provide indemnification and contribution to the Sales Agent with respect to certain liabilities, including liabilities under the Securities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risks that are described in the “Risk Factors” section beginning on page S-4 of this prospectus supplement and similar sections contained in the documents incorporated by reference into this prospectus supplement and the accompanying base prospectus.</w:t>
      </w:r>
    </w:p>
    <w:p>
      <w:pPr>
        <w:spacing w:after="0" w:line="155"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Craig-Hallum</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November 26,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4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660" w:type="dxa"/>
            <w:vAlign w:val="bottom"/>
          </w:tcPr>
          <w:p>
            <w:pPr>
              <w:spacing w:after="0"/>
              <w:rPr>
                <w:sz w:val="20"/>
                <w:szCs w:val="20"/>
                <w:color w:val="auto"/>
              </w:rPr>
            </w:pPr>
          </w:p>
        </w:tc>
      </w:tr>
      <w:tr>
        <w:trPr>
          <w:trHeight w:val="432"/>
        </w:trPr>
        <w:tc>
          <w:tcPr>
            <w:tcW w:w="858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2660" w:type="dxa"/>
            <w:vAlign w:val="bottom"/>
          </w:tcPr>
          <w:p>
            <w:pPr>
              <w:spacing w:after="0"/>
              <w:rPr>
                <w:sz w:val="24"/>
                <w:szCs w:val="24"/>
                <w:color w:val="auto"/>
              </w:rPr>
            </w:pP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176"/>
        </w:trPr>
        <w:tc>
          <w:tcPr>
            <w:tcW w:w="858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ABOUT THIS PROSPECTUS SUPPLEMENT</w:t>
            </w:r>
          </w:p>
        </w:tc>
        <w:tc>
          <w:tcPr>
            <w:tcW w:w="2660" w:type="dxa"/>
            <w:vAlign w:val="bottom"/>
            <w:shd w:val="clear" w:color="auto" w:fill="CCEEFF"/>
          </w:tcPr>
          <w:p>
            <w:pPr>
              <w:jc w:val="center"/>
              <w:ind w:left="1590"/>
              <w:spacing w:after="0" w:line="176" w:lineRule="exact"/>
              <w:rPr>
                <w:sz w:val="20"/>
                <w:szCs w:val="20"/>
                <w:color w:val="auto"/>
              </w:rPr>
            </w:pPr>
            <w:r>
              <w:rPr>
                <w:rFonts w:ascii="Times New Roman" w:cs="Times New Roman" w:eastAsia="Times New Roman" w:hAnsi="Times New Roman"/>
                <w:sz w:val="18"/>
                <w:szCs w:val="18"/>
                <w:color w:val="auto"/>
                <w:w w:val="99"/>
              </w:rPr>
              <w:t>S-ii</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58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2660" w:type="dxa"/>
            <w:vAlign w:val="bottom"/>
          </w:tcPr>
          <w:p>
            <w:pPr>
              <w:jc w:val="center"/>
              <w:ind w:left="1570"/>
              <w:spacing w:after="0" w:line="176" w:lineRule="exact"/>
              <w:rPr>
                <w:sz w:val="20"/>
                <w:szCs w:val="20"/>
                <w:color w:val="auto"/>
              </w:rPr>
            </w:pPr>
            <w:r>
              <w:rPr>
                <w:rFonts w:ascii="Times New Roman" w:cs="Times New Roman" w:eastAsia="Times New Roman" w:hAnsi="Times New Roman"/>
                <w:sz w:val="18"/>
                <w:szCs w:val="18"/>
                <w:color w:val="auto"/>
              </w:rPr>
              <w:t>S-iii</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330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SUPPLEMENT SUMMARY</w:t>
            </w:r>
          </w:p>
        </w:tc>
        <w:tc>
          <w:tcPr>
            <w:tcW w:w="5280" w:type="dxa"/>
            <w:vAlign w:val="bottom"/>
            <w:tcBorders>
              <w:bottom w:val="single" w:sz="8" w:color="CCEEFF"/>
            </w:tcBorders>
            <w:gridSpan w:val="8"/>
            <w:shd w:val="clear" w:color="auto" w:fill="CCEEFF"/>
          </w:tcPr>
          <w:p>
            <w:pPr>
              <w:spacing w:after="0"/>
              <w:rPr>
                <w:sz w:val="17"/>
                <w:szCs w:val="17"/>
                <w:color w:val="auto"/>
              </w:rPr>
            </w:pPr>
          </w:p>
        </w:tc>
        <w:tc>
          <w:tcPr>
            <w:tcW w:w="2660" w:type="dxa"/>
            <w:vAlign w:val="bottom"/>
            <w:tcBorders>
              <w:bottom w:val="single" w:sz="8" w:color="CCEEFF"/>
            </w:tcBorders>
            <w:shd w:val="clear" w:color="auto" w:fill="CCEEFF"/>
          </w:tcPr>
          <w:p>
            <w:pPr>
              <w:jc w:val="center"/>
              <w:ind w:left="1570"/>
              <w:spacing w:after="0" w:line="176" w:lineRule="exact"/>
              <w:rPr>
                <w:sz w:val="20"/>
                <w:szCs w:val="20"/>
                <w:color w:val="auto"/>
              </w:rPr>
            </w:pPr>
            <w:r>
              <w:rPr>
                <w:rFonts w:ascii="Times New Roman" w:cs="Times New Roman" w:eastAsia="Times New Roman" w:hAnsi="Times New Roman"/>
                <w:sz w:val="18"/>
                <w:szCs w:val="18"/>
                <w:color w:val="auto"/>
                <w:w w:val="95"/>
              </w:rPr>
              <w:t>S-1</w:t>
            </w:r>
          </w:p>
        </w:tc>
      </w:tr>
      <w:tr>
        <w:trPr>
          <w:trHeight w:val="175"/>
        </w:trPr>
        <w:tc>
          <w:tcPr>
            <w:tcW w:w="858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2660" w:type="dxa"/>
            <w:vAlign w:val="bottom"/>
          </w:tcPr>
          <w:p>
            <w:pPr>
              <w:jc w:val="center"/>
              <w:ind w:left="1570"/>
              <w:spacing w:after="0" w:line="176" w:lineRule="exact"/>
              <w:rPr>
                <w:sz w:val="20"/>
                <w:szCs w:val="20"/>
                <w:color w:val="auto"/>
              </w:rPr>
            </w:pPr>
            <w:r>
              <w:rPr>
                <w:rFonts w:ascii="Times New Roman" w:cs="Times New Roman" w:eastAsia="Times New Roman" w:hAnsi="Times New Roman"/>
                <w:sz w:val="18"/>
                <w:szCs w:val="18"/>
                <w:color w:val="auto"/>
                <w:w w:val="95"/>
              </w:rPr>
              <w:t>S-3</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7320" w:type="dxa"/>
            <w:vAlign w:val="bottom"/>
            <w:tcBorders>
              <w:bottom w:val="single" w:sz="8" w:color="CCEEFF"/>
            </w:tcBorders>
            <w:gridSpan w:val="20"/>
            <w:shd w:val="clear" w:color="auto" w:fill="CCEEFF"/>
          </w:tcPr>
          <w:p>
            <w:pPr>
              <w:spacing w:after="0"/>
              <w:rPr>
                <w:sz w:val="17"/>
                <w:szCs w:val="17"/>
                <w:color w:val="auto"/>
              </w:rPr>
            </w:pPr>
          </w:p>
        </w:tc>
        <w:tc>
          <w:tcPr>
            <w:tcW w:w="2660" w:type="dxa"/>
            <w:vAlign w:val="bottom"/>
            <w:tcBorders>
              <w:bottom w:val="single" w:sz="8" w:color="CCEEFF"/>
            </w:tcBorders>
            <w:shd w:val="clear" w:color="auto" w:fill="CCEEFF"/>
          </w:tcPr>
          <w:p>
            <w:pPr>
              <w:jc w:val="center"/>
              <w:ind w:left="1570"/>
              <w:spacing w:after="0" w:line="176" w:lineRule="exact"/>
              <w:rPr>
                <w:sz w:val="20"/>
                <w:szCs w:val="20"/>
                <w:color w:val="auto"/>
              </w:rPr>
            </w:pPr>
            <w:r>
              <w:rPr>
                <w:rFonts w:ascii="Times New Roman" w:cs="Times New Roman" w:eastAsia="Times New Roman" w:hAnsi="Times New Roman"/>
                <w:sz w:val="18"/>
                <w:szCs w:val="18"/>
                <w:color w:val="auto"/>
                <w:w w:val="95"/>
              </w:rPr>
              <w:t>S-4</w:t>
            </w:r>
          </w:p>
        </w:tc>
      </w:tr>
      <w:tr>
        <w:trPr>
          <w:trHeight w:val="176"/>
        </w:trPr>
        <w:tc>
          <w:tcPr>
            <w:tcW w:w="858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2660" w:type="dxa"/>
            <w:vAlign w:val="bottom"/>
          </w:tcPr>
          <w:p>
            <w:pPr>
              <w:jc w:val="center"/>
              <w:ind w:left="1570"/>
              <w:spacing w:after="0" w:line="176" w:lineRule="exact"/>
              <w:rPr>
                <w:sz w:val="20"/>
                <w:szCs w:val="20"/>
                <w:color w:val="auto"/>
              </w:rPr>
            </w:pPr>
            <w:r>
              <w:rPr>
                <w:rFonts w:ascii="Times New Roman" w:cs="Times New Roman" w:eastAsia="Times New Roman" w:hAnsi="Times New Roman"/>
                <w:sz w:val="18"/>
                <w:szCs w:val="18"/>
                <w:color w:val="auto"/>
                <w:w w:val="95"/>
              </w:rPr>
              <w:t>S-7</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858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DIVIDEND POLICY</w:t>
            </w:r>
          </w:p>
        </w:tc>
        <w:tc>
          <w:tcPr>
            <w:tcW w:w="2660" w:type="dxa"/>
            <w:vAlign w:val="bottom"/>
            <w:shd w:val="clear" w:color="auto" w:fill="CCEEFF"/>
          </w:tcPr>
          <w:p>
            <w:pPr>
              <w:jc w:val="center"/>
              <w:ind w:left="1570"/>
              <w:spacing w:after="0" w:line="176" w:lineRule="exact"/>
              <w:rPr>
                <w:sz w:val="20"/>
                <w:szCs w:val="20"/>
                <w:color w:val="auto"/>
              </w:rPr>
            </w:pPr>
            <w:r>
              <w:rPr>
                <w:rFonts w:ascii="Times New Roman" w:cs="Times New Roman" w:eastAsia="Times New Roman" w:hAnsi="Times New Roman"/>
                <w:sz w:val="18"/>
                <w:szCs w:val="18"/>
                <w:color w:val="auto"/>
                <w:w w:val="95"/>
              </w:rPr>
              <w:t>S-8</w:t>
            </w:r>
          </w:p>
        </w:tc>
      </w:tr>
      <w:tr>
        <w:trPr>
          <w:trHeight w:val="175"/>
        </w:trPr>
        <w:tc>
          <w:tcPr>
            <w:tcW w:w="158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7000" w:type="dxa"/>
            <w:vAlign w:val="bottom"/>
            <w:tcBorders>
              <w:top w:val="single" w:sz="8" w:color="CCEEFF"/>
            </w:tcBorders>
            <w:gridSpan w:val="17"/>
          </w:tcPr>
          <w:p>
            <w:pPr>
              <w:spacing w:after="0"/>
              <w:rPr>
                <w:sz w:val="15"/>
                <w:szCs w:val="15"/>
                <w:color w:val="auto"/>
              </w:rPr>
            </w:pPr>
          </w:p>
        </w:tc>
        <w:tc>
          <w:tcPr>
            <w:tcW w:w="2660" w:type="dxa"/>
            <w:vAlign w:val="bottom"/>
            <w:tcBorders>
              <w:top w:val="single" w:sz="8" w:color="CCEEFF"/>
            </w:tcBorders>
          </w:tcPr>
          <w:p>
            <w:pPr>
              <w:jc w:val="center"/>
              <w:ind w:left="1570"/>
              <w:spacing w:after="0" w:line="176" w:lineRule="exact"/>
              <w:rPr>
                <w:sz w:val="20"/>
                <w:szCs w:val="20"/>
                <w:color w:val="auto"/>
              </w:rPr>
            </w:pPr>
            <w:r>
              <w:rPr>
                <w:rFonts w:ascii="Times New Roman" w:cs="Times New Roman" w:eastAsia="Times New Roman" w:hAnsi="Times New Roman"/>
                <w:sz w:val="18"/>
                <w:szCs w:val="18"/>
                <w:color w:val="auto"/>
                <w:w w:val="95"/>
              </w:rPr>
              <w:t>S-9</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6520" w:type="dxa"/>
            <w:vAlign w:val="bottom"/>
            <w:tcBorders>
              <w:bottom w:val="single" w:sz="8" w:color="CCEEFF"/>
            </w:tcBorders>
            <w:gridSpan w:val="14"/>
            <w:shd w:val="clear" w:color="auto" w:fill="CCEEFF"/>
          </w:tcPr>
          <w:p>
            <w:pPr>
              <w:spacing w:after="0"/>
              <w:rPr>
                <w:sz w:val="17"/>
                <w:szCs w:val="17"/>
                <w:color w:val="auto"/>
              </w:rPr>
            </w:pPr>
          </w:p>
        </w:tc>
        <w:tc>
          <w:tcPr>
            <w:tcW w:w="2660" w:type="dxa"/>
            <w:vAlign w:val="bottom"/>
            <w:tcBorders>
              <w:bottom w:val="single" w:sz="8" w:color="CCEEFF"/>
            </w:tcBorders>
            <w:shd w:val="clear" w:color="auto" w:fill="CCEEFF"/>
          </w:tcPr>
          <w:p>
            <w:pPr>
              <w:jc w:val="center"/>
              <w:ind w:left="1590"/>
              <w:spacing w:after="0" w:line="176" w:lineRule="exact"/>
              <w:rPr>
                <w:sz w:val="20"/>
                <w:szCs w:val="20"/>
                <w:color w:val="auto"/>
              </w:rPr>
            </w:pPr>
            <w:r>
              <w:rPr>
                <w:rFonts w:ascii="Times New Roman" w:cs="Times New Roman" w:eastAsia="Times New Roman" w:hAnsi="Times New Roman"/>
                <w:sz w:val="18"/>
                <w:szCs w:val="18"/>
                <w:color w:val="auto"/>
                <w:w w:val="99"/>
              </w:rPr>
              <w:t>S-10</w:t>
            </w:r>
          </w:p>
        </w:tc>
      </w:tr>
      <w:tr>
        <w:trPr>
          <w:trHeight w:val="175"/>
        </w:trPr>
        <w:tc>
          <w:tcPr>
            <w:tcW w:w="858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2660" w:type="dxa"/>
            <w:vAlign w:val="bottom"/>
          </w:tcPr>
          <w:p>
            <w:pPr>
              <w:jc w:val="center"/>
              <w:ind w:left="1570"/>
              <w:spacing w:after="0" w:line="176" w:lineRule="exact"/>
              <w:rPr>
                <w:sz w:val="20"/>
                <w:szCs w:val="20"/>
                <w:color w:val="auto"/>
              </w:rPr>
            </w:pPr>
            <w:r>
              <w:rPr>
                <w:rFonts w:ascii="Times New Roman" w:cs="Times New Roman" w:eastAsia="Times New Roman" w:hAnsi="Times New Roman"/>
                <w:sz w:val="18"/>
                <w:szCs w:val="18"/>
                <w:color w:val="auto"/>
                <w:w w:val="93"/>
              </w:rPr>
              <w:t>S-11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7800" w:type="dxa"/>
            <w:vAlign w:val="bottom"/>
            <w:tcBorders>
              <w:bottom w:val="single" w:sz="8" w:color="CCEEFF"/>
            </w:tcBorders>
            <w:gridSpan w:val="23"/>
            <w:shd w:val="clear" w:color="auto" w:fill="CCEEFF"/>
          </w:tcPr>
          <w:p>
            <w:pPr>
              <w:spacing w:after="0"/>
              <w:rPr>
                <w:sz w:val="17"/>
                <w:szCs w:val="17"/>
                <w:color w:val="auto"/>
              </w:rPr>
            </w:pPr>
          </w:p>
        </w:tc>
        <w:tc>
          <w:tcPr>
            <w:tcW w:w="2660" w:type="dxa"/>
            <w:vAlign w:val="bottom"/>
            <w:tcBorders>
              <w:bottom w:val="single" w:sz="8" w:color="CCEEFF"/>
            </w:tcBorders>
            <w:shd w:val="clear" w:color="auto" w:fill="CCEEFF"/>
          </w:tcPr>
          <w:p>
            <w:pPr>
              <w:jc w:val="center"/>
              <w:ind w:left="1570"/>
              <w:spacing w:after="0" w:line="176" w:lineRule="exact"/>
              <w:rPr>
                <w:sz w:val="20"/>
                <w:szCs w:val="20"/>
                <w:color w:val="auto"/>
              </w:rPr>
            </w:pPr>
            <w:r>
              <w:rPr>
                <w:rFonts w:ascii="Times New Roman" w:cs="Times New Roman" w:eastAsia="Times New Roman" w:hAnsi="Times New Roman"/>
                <w:sz w:val="18"/>
                <w:szCs w:val="18"/>
                <w:color w:val="auto"/>
                <w:w w:val="93"/>
              </w:rPr>
              <w:t>S-11</w:t>
            </w:r>
          </w:p>
        </w:tc>
      </w:tr>
      <w:tr>
        <w:trPr>
          <w:trHeight w:val="176"/>
        </w:trPr>
        <w:tc>
          <w:tcPr>
            <w:tcW w:w="858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660" w:type="dxa"/>
            <w:vAlign w:val="bottom"/>
          </w:tcPr>
          <w:p>
            <w:pPr>
              <w:jc w:val="center"/>
              <w:ind w:left="1570"/>
              <w:spacing w:after="0" w:line="176" w:lineRule="exact"/>
              <w:rPr>
                <w:sz w:val="20"/>
                <w:szCs w:val="20"/>
                <w:color w:val="auto"/>
              </w:rPr>
            </w:pPr>
            <w:r>
              <w:rPr>
                <w:rFonts w:ascii="Times New Roman" w:cs="Times New Roman" w:eastAsia="Times New Roman" w:hAnsi="Times New Roman"/>
                <w:sz w:val="18"/>
                <w:szCs w:val="18"/>
                <w:color w:val="auto"/>
                <w:w w:val="93"/>
              </w:rPr>
              <w:t>S-11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858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2660" w:type="dxa"/>
            <w:vAlign w:val="bottom"/>
            <w:shd w:val="clear" w:color="auto" w:fill="CCEEFF"/>
          </w:tcPr>
          <w:p>
            <w:pPr>
              <w:jc w:val="center"/>
              <w:ind w:left="1590"/>
              <w:spacing w:after="0" w:line="176" w:lineRule="exact"/>
              <w:rPr>
                <w:sz w:val="20"/>
                <w:szCs w:val="20"/>
                <w:color w:val="auto"/>
              </w:rPr>
            </w:pPr>
            <w:r>
              <w:rPr>
                <w:rFonts w:ascii="Times New Roman" w:cs="Times New Roman" w:eastAsia="Times New Roman" w:hAnsi="Times New Roman"/>
                <w:sz w:val="18"/>
                <w:szCs w:val="18"/>
                <w:color w:val="auto"/>
                <w:w w:val="99"/>
              </w:rPr>
              <w:t>S-12</w:t>
            </w:r>
          </w:p>
        </w:tc>
      </w:tr>
      <w:tr>
        <w:trPr>
          <w:trHeight w:val="175"/>
        </w:trPr>
        <w:tc>
          <w:tcPr>
            <w:tcW w:w="5180" w:type="dxa"/>
            <w:vAlign w:val="bottom"/>
            <w:tcBorders>
              <w:top w:val="single" w:sz="8" w:color="0000EE"/>
            </w:tcBorders>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INDEMNIFICATION FOR SECURITIES ACT LIABILITIES</w:t>
            </w:r>
          </w:p>
        </w:tc>
        <w:tc>
          <w:tcPr>
            <w:tcW w:w="3400" w:type="dxa"/>
            <w:vAlign w:val="bottom"/>
            <w:tcBorders>
              <w:top w:val="single" w:sz="8" w:color="CCEEFF"/>
            </w:tcBorders>
            <w:gridSpan w:val="3"/>
          </w:tcPr>
          <w:p>
            <w:pPr>
              <w:spacing w:after="0"/>
              <w:rPr>
                <w:sz w:val="15"/>
                <w:szCs w:val="15"/>
                <w:color w:val="auto"/>
              </w:rPr>
            </w:pPr>
          </w:p>
        </w:tc>
        <w:tc>
          <w:tcPr>
            <w:tcW w:w="2660" w:type="dxa"/>
            <w:vAlign w:val="bottom"/>
            <w:tcBorders>
              <w:top w:val="single" w:sz="8" w:color="CCEEFF"/>
            </w:tcBorders>
          </w:tcPr>
          <w:p>
            <w:pPr>
              <w:jc w:val="center"/>
              <w:ind w:left="1590"/>
              <w:spacing w:after="0" w:line="176" w:lineRule="exact"/>
              <w:rPr>
                <w:sz w:val="20"/>
                <w:szCs w:val="20"/>
                <w:color w:val="auto"/>
              </w:rPr>
            </w:pPr>
            <w:r>
              <w:rPr>
                <w:rFonts w:ascii="Times New Roman" w:cs="Times New Roman" w:eastAsia="Times New Roman" w:hAnsi="Times New Roman"/>
                <w:sz w:val="18"/>
                <w:szCs w:val="18"/>
                <w:color w:val="auto"/>
                <w:w w:val="99"/>
              </w:rPr>
              <w:t>S-12</w:t>
            </w:r>
          </w:p>
        </w:tc>
      </w:tr>
      <w:tr>
        <w:trPr>
          <w:trHeight w:val="518"/>
        </w:trPr>
        <w:tc>
          <w:tcPr>
            <w:tcW w:w="4540" w:type="dxa"/>
            <w:vAlign w:val="bottom"/>
            <w:tcBorders>
              <w:top w:val="single" w:sz="8" w:color="0000EE"/>
            </w:tcBorders>
            <w:gridSpan w:val="19"/>
          </w:tcPr>
          <w:p>
            <w:pPr>
              <w:spacing w:after="0"/>
              <w:rPr>
                <w:sz w:val="20"/>
                <w:szCs w:val="20"/>
                <w:color w:val="auto"/>
              </w:rPr>
            </w:pPr>
            <w:r>
              <w:rPr>
                <w:rFonts w:ascii="Times New Roman" w:cs="Times New Roman" w:eastAsia="Times New Roman" w:hAnsi="Times New Roman"/>
                <w:sz w:val="22"/>
                <w:szCs w:val="22"/>
                <w:b w:val="1"/>
                <w:bCs w:val="1"/>
                <w:color w:val="auto"/>
              </w:rPr>
              <w:t>PROSPECTUS</w:t>
            </w:r>
          </w:p>
        </w:tc>
        <w:tc>
          <w:tcPr>
            <w:tcW w:w="4040" w:type="dxa"/>
            <w:vAlign w:val="bottom"/>
            <w:gridSpan w:val="5"/>
          </w:tcPr>
          <w:p>
            <w:pPr>
              <w:spacing w:after="0"/>
              <w:rPr>
                <w:sz w:val="24"/>
                <w:szCs w:val="24"/>
                <w:color w:val="auto"/>
              </w:rPr>
            </w:pPr>
          </w:p>
        </w:tc>
        <w:tc>
          <w:tcPr>
            <w:tcW w:w="2660" w:type="dxa"/>
            <w:vAlign w:val="bottom"/>
          </w:tcPr>
          <w:p>
            <w:pPr>
              <w:spacing w:after="0"/>
              <w:rPr>
                <w:sz w:val="24"/>
                <w:szCs w:val="24"/>
                <w:color w:val="auto"/>
              </w:rPr>
            </w:pPr>
          </w:p>
        </w:tc>
      </w:tr>
      <w:tr>
        <w:trPr>
          <w:trHeight w:val="231"/>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660" w:type="dxa"/>
            <w:vAlign w:val="bottom"/>
          </w:tcPr>
          <w:p>
            <w:pPr>
              <w:spacing w:after="0"/>
              <w:rPr>
                <w:sz w:val="20"/>
                <w:szCs w:val="20"/>
                <w:color w:val="auto"/>
              </w:rPr>
            </w:pPr>
          </w:p>
        </w:tc>
      </w:tr>
      <w:tr>
        <w:trPr>
          <w:trHeight w:val="196"/>
        </w:trPr>
        <w:tc>
          <w:tcPr>
            <w:tcW w:w="224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6340" w:type="dxa"/>
            <w:vAlign w:val="bottom"/>
            <w:tcBorders>
              <w:bottom w:val="single" w:sz="8" w:color="CCEEFF"/>
            </w:tcBorders>
            <w:gridSpan w:val="12"/>
            <w:shd w:val="clear" w:color="auto" w:fill="CCEEFF"/>
          </w:tcPr>
          <w:p>
            <w:pPr>
              <w:spacing w:after="0"/>
              <w:rPr>
                <w:sz w:val="17"/>
                <w:szCs w:val="17"/>
                <w:color w:val="auto"/>
              </w:rPr>
            </w:pPr>
          </w:p>
        </w:tc>
        <w:tc>
          <w:tcPr>
            <w:tcW w:w="2660" w:type="dxa"/>
            <w:vAlign w:val="bottom"/>
            <w:tcBorders>
              <w:bottom w:val="single" w:sz="8" w:color="CCEEFF"/>
            </w:tcBorders>
            <w:shd w:val="clear" w:color="auto" w:fill="CCEEFF"/>
          </w:tcPr>
          <w:p>
            <w:pPr>
              <w:jc w:val="center"/>
              <w:ind w:left="1590"/>
              <w:spacing w:after="0" w:line="176" w:lineRule="exact"/>
              <w:rPr>
                <w:sz w:val="20"/>
                <w:szCs w:val="20"/>
                <w:color w:val="auto"/>
              </w:rPr>
            </w:pPr>
            <w:r>
              <w:rPr>
                <w:rFonts w:ascii="Times New Roman" w:cs="Times New Roman" w:eastAsia="Times New Roman" w:hAnsi="Times New Roman"/>
                <w:sz w:val="18"/>
                <w:szCs w:val="18"/>
                <w:color w:val="auto"/>
                <w:w w:val="99"/>
              </w:rPr>
              <w:t>ii</w:t>
            </w:r>
          </w:p>
        </w:tc>
      </w:tr>
      <w:tr>
        <w:trPr>
          <w:trHeight w:val="175"/>
        </w:trPr>
        <w:tc>
          <w:tcPr>
            <w:tcW w:w="858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TRADEMARKS</w:t>
            </w:r>
          </w:p>
        </w:tc>
        <w:tc>
          <w:tcPr>
            <w:tcW w:w="2660" w:type="dxa"/>
            <w:vAlign w:val="bottom"/>
          </w:tcPr>
          <w:p>
            <w:pPr>
              <w:jc w:val="center"/>
              <w:ind w:left="1590"/>
              <w:spacing w:after="0" w:line="176" w:lineRule="exact"/>
              <w:rPr>
                <w:sz w:val="20"/>
                <w:szCs w:val="20"/>
                <w:color w:val="auto"/>
              </w:rPr>
            </w:pPr>
            <w:r>
              <w:rPr>
                <w:rFonts w:ascii="Times New Roman" w:cs="Times New Roman" w:eastAsia="Times New Roman" w:hAnsi="Times New Roman"/>
                <w:sz w:val="18"/>
                <w:szCs w:val="18"/>
                <w:color w:val="auto"/>
                <w:w w:val="99"/>
              </w:rPr>
              <w:t>iv</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858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2660" w:type="dxa"/>
            <w:vAlign w:val="bottom"/>
            <w:shd w:val="clear" w:color="auto" w:fill="CCEEFF"/>
          </w:tcPr>
          <w:p>
            <w:pPr>
              <w:jc w:val="center"/>
              <w:ind w:left="1570"/>
              <w:spacing w:after="0" w:line="176" w:lineRule="exact"/>
              <w:rPr>
                <w:sz w:val="20"/>
                <w:szCs w:val="20"/>
                <w:color w:val="auto"/>
              </w:rPr>
            </w:pPr>
            <w:r>
              <w:rPr>
                <w:rFonts w:ascii="Times New Roman" w:cs="Times New Roman" w:eastAsia="Times New Roman" w:hAnsi="Times New Roman"/>
                <w:sz w:val="18"/>
                <w:szCs w:val="18"/>
                <w:color w:val="auto"/>
                <w:w w:val="88"/>
              </w:rPr>
              <w:t>v</w:t>
            </w:r>
          </w:p>
        </w:tc>
      </w:tr>
      <w:tr>
        <w:trPr>
          <w:trHeight w:val="176"/>
        </w:trPr>
        <w:tc>
          <w:tcPr>
            <w:tcW w:w="6340" w:type="dxa"/>
            <w:vAlign w:val="bottom"/>
            <w:tcBorders>
              <w:top w:val="single" w:sz="8" w:color="0000EE"/>
            </w:tcBorders>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SUMMARY OF PROSPECTUS</w:t>
            </w:r>
          </w:p>
        </w:tc>
        <w:tc>
          <w:tcPr>
            <w:tcW w:w="2240" w:type="dxa"/>
            <w:vAlign w:val="bottom"/>
            <w:tcBorders>
              <w:top w:val="single" w:sz="8" w:color="CCEEFF"/>
            </w:tcBorders>
          </w:tcPr>
          <w:p>
            <w:pPr>
              <w:spacing w:after="0"/>
              <w:rPr>
                <w:sz w:val="15"/>
                <w:szCs w:val="15"/>
                <w:color w:val="auto"/>
              </w:rPr>
            </w:pPr>
          </w:p>
        </w:tc>
        <w:tc>
          <w:tcPr>
            <w:tcW w:w="2660" w:type="dxa"/>
            <w:vAlign w:val="bottom"/>
            <w:tcBorders>
              <w:top w:val="single" w:sz="8" w:color="CCEEFF"/>
            </w:tcBorders>
          </w:tcPr>
          <w:p>
            <w:pPr>
              <w:jc w:val="center"/>
              <w:ind w:left="157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7320" w:type="dxa"/>
            <w:vAlign w:val="bottom"/>
            <w:tcBorders>
              <w:bottom w:val="single" w:sz="8" w:color="CCEEFF"/>
            </w:tcBorders>
            <w:gridSpan w:val="20"/>
            <w:shd w:val="clear" w:color="auto" w:fill="CCEEFF"/>
          </w:tcPr>
          <w:p>
            <w:pPr>
              <w:spacing w:after="0"/>
              <w:rPr>
                <w:sz w:val="17"/>
                <w:szCs w:val="17"/>
                <w:color w:val="auto"/>
              </w:rPr>
            </w:pPr>
          </w:p>
        </w:tc>
        <w:tc>
          <w:tcPr>
            <w:tcW w:w="2660" w:type="dxa"/>
            <w:vAlign w:val="bottom"/>
            <w:tcBorders>
              <w:bottom w:val="single" w:sz="8" w:color="CCEEFF"/>
            </w:tcBorders>
            <w:shd w:val="clear" w:color="auto" w:fill="CCEEFF"/>
          </w:tcPr>
          <w:p>
            <w:pPr>
              <w:jc w:val="center"/>
              <w:ind w:left="1570"/>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176"/>
        </w:trPr>
        <w:tc>
          <w:tcPr>
            <w:tcW w:w="858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2660" w:type="dxa"/>
            <w:vAlign w:val="bottom"/>
          </w:tcPr>
          <w:p>
            <w:pPr>
              <w:jc w:val="center"/>
              <w:ind w:left="1570"/>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5100" w:type="dxa"/>
            <w:vAlign w:val="bottom"/>
            <w:tcBorders>
              <w:bottom w:val="single" w:sz="8" w:color="0000EE"/>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COMMON STOCK AND PREFERRED STOCK</w:t>
            </w:r>
          </w:p>
        </w:tc>
        <w:tc>
          <w:tcPr>
            <w:tcW w:w="3480" w:type="dxa"/>
            <w:vAlign w:val="bottom"/>
            <w:tcBorders>
              <w:bottom w:val="single" w:sz="8" w:color="CCEEFF"/>
            </w:tcBorders>
            <w:gridSpan w:val="4"/>
            <w:shd w:val="clear" w:color="auto" w:fill="CCEEFF"/>
          </w:tcPr>
          <w:p>
            <w:pPr>
              <w:spacing w:after="0"/>
              <w:rPr>
                <w:sz w:val="17"/>
                <w:szCs w:val="17"/>
                <w:color w:val="auto"/>
              </w:rPr>
            </w:pPr>
          </w:p>
        </w:tc>
        <w:tc>
          <w:tcPr>
            <w:tcW w:w="2660" w:type="dxa"/>
            <w:vAlign w:val="bottom"/>
            <w:tcBorders>
              <w:bottom w:val="single" w:sz="8" w:color="CCEEFF"/>
            </w:tcBorders>
            <w:shd w:val="clear" w:color="auto" w:fill="CCEEFF"/>
          </w:tcPr>
          <w:p>
            <w:pPr>
              <w:jc w:val="center"/>
              <w:ind w:left="1570"/>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175"/>
        </w:trPr>
        <w:tc>
          <w:tcPr>
            <w:tcW w:w="858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DESCRIPTION OF DEBT SECURITIES</w:t>
            </w:r>
          </w:p>
        </w:tc>
        <w:tc>
          <w:tcPr>
            <w:tcW w:w="2660" w:type="dxa"/>
            <w:vAlign w:val="bottom"/>
          </w:tcPr>
          <w:p>
            <w:pPr>
              <w:jc w:val="center"/>
              <w:ind w:left="1570"/>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858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WARRANTS</w:t>
            </w:r>
          </w:p>
        </w:tc>
        <w:tc>
          <w:tcPr>
            <w:tcW w:w="2660" w:type="dxa"/>
            <w:vAlign w:val="bottom"/>
            <w:shd w:val="clear" w:color="auto" w:fill="CCEEFF"/>
          </w:tcPr>
          <w:p>
            <w:pPr>
              <w:jc w:val="center"/>
              <w:ind w:left="1590"/>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175"/>
        </w:trPr>
        <w:tc>
          <w:tcPr>
            <w:tcW w:w="2480" w:type="dxa"/>
            <w:vAlign w:val="bottom"/>
            <w:tcBorders>
              <w:top w:val="single" w:sz="8" w:color="0000EE"/>
            </w:tcBorders>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DESCRIPTION OF RIGHTS</w:t>
            </w:r>
          </w:p>
        </w:tc>
        <w:tc>
          <w:tcPr>
            <w:tcW w:w="6100" w:type="dxa"/>
            <w:vAlign w:val="bottom"/>
            <w:tcBorders>
              <w:top w:val="single" w:sz="8" w:color="CCEEFF"/>
            </w:tcBorders>
            <w:gridSpan w:val="10"/>
          </w:tcPr>
          <w:p>
            <w:pPr>
              <w:spacing w:after="0"/>
              <w:rPr>
                <w:sz w:val="15"/>
                <w:szCs w:val="15"/>
                <w:color w:val="auto"/>
              </w:rPr>
            </w:pPr>
          </w:p>
        </w:tc>
        <w:tc>
          <w:tcPr>
            <w:tcW w:w="2660" w:type="dxa"/>
            <w:vAlign w:val="bottom"/>
            <w:tcBorders>
              <w:top w:val="single" w:sz="8" w:color="CCEEFF"/>
            </w:tcBorders>
          </w:tcPr>
          <w:p>
            <w:pPr>
              <w:jc w:val="center"/>
              <w:ind w:left="1590"/>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858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2660" w:type="dxa"/>
            <w:vAlign w:val="bottom"/>
            <w:shd w:val="clear" w:color="auto" w:fill="CCEEFF"/>
          </w:tcPr>
          <w:p>
            <w:pPr>
              <w:jc w:val="center"/>
              <w:ind w:left="1590"/>
              <w:spacing w:after="0" w:line="176" w:lineRule="exact"/>
              <w:rPr>
                <w:sz w:val="20"/>
                <w:szCs w:val="20"/>
                <w:color w:val="auto"/>
              </w:rPr>
            </w:pPr>
            <w:r>
              <w:rPr>
                <w:rFonts w:ascii="Times New Roman" w:cs="Times New Roman" w:eastAsia="Times New Roman" w:hAnsi="Times New Roman"/>
                <w:sz w:val="18"/>
                <w:szCs w:val="18"/>
                <w:color w:val="auto"/>
                <w:w w:val="99"/>
              </w:rPr>
              <w:t>15</w:t>
            </w:r>
          </w:p>
        </w:tc>
      </w:tr>
      <w:tr>
        <w:trPr>
          <w:trHeight w:val="175"/>
        </w:trPr>
        <w:tc>
          <w:tcPr>
            <w:tcW w:w="2020" w:type="dxa"/>
            <w:vAlign w:val="bottom"/>
            <w:tcBorders>
              <w:top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GLOBAL SECURITIES</w:t>
            </w:r>
          </w:p>
        </w:tc>
        <w:tc>
          <w:tcPr>
            <w:tcW w:w="6560" w:type="dxa"/>
            <w:vAlign w:val="bottom"/>
            <w:tcBorders>
              <w:top w:val="single" w:sz="8" w:color="CCEEFF"/>
            </w:tcBorders>
            <w:gridSpan w:val="15"/>
          </w:tcPr>
          <w:p>
            <w:pPr>
              <w:spacing w:after="0"/>
              <w:rPr>
                <w:sz w:val="15"/>
                <w:szCs w:val="15"/>
                <w:color w:val="auto"/>
              </w:rPr>
            </w:pPr>
          </w:p>
        </w:tc>
        <w:tc>
          <w:tcPr>
            <w:tcW w:w="2660" w:type="dxa"/>
            <w:vAlign w:val="bottom"/>
            <w:tcBorders>
              <w:top w:val="single" w:sz="8" w:color="CCEEFF"/>
            </w:tcBorders>
          </w:tcPr>
          <w:p>
            <w:pPr>
              <w:jc w:val="center"/>
              <w:ind w:left="1590"/>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6520" w:type="dxa"/>
            <w:vAlign w:val="bottom"/>
            <w:tcBorders>
              <w:bottom w:val="single" w:sz="8" w:color="CCEEFF"/>
            </w:tcBorders>
            <w:gridSpan w:val="14"/>
            <w:shd w:val="clear" w:color="auto" w:fill="CCEEFF"/>
          </w:tcPr>
          <w:p>
            <w:pPr>
              <w:spacing w:after="0"/>
              <w:rPr>
                <w:sz w:val="17"/>
                <w:szCs w:val="17"/>
                <w:color w:val="auto"/>
              </w:rPr>
            </w:pPr>
          </w:p>
        </w:tc>
        <w:tc>
          <w:tcPr>
            <w:tcW w:w="2660" w:type="dxa"/>
            <w:vAlign w:val="bottom"/>
            <w:tcBorders>
              <w:bottom w:val="single" w:sz="8" w:color="CCEEFF"/>
            </w:tcBorders>
            <w:shd w:val="clear" w:color="auto" w:fill="CCEEFF"/>
          </w:tcPr>
          <w:p>
            <w:pPr>
              <w:jc w:val="center"/>
              <w:ind w:left="1590"/>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175"/>
        </w:trPr>
        <w:tc>
          <w:tcPr>
            <w:tcW w:w="858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2660" w:type="dxa"/>
            <w:vAlign w:val="bottom"/>
          </w:tcPr>
          <w:p>
            <w:pPr>
              <w:jc w:val="center"/>
              <w:ind w:left="1590"/>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7800" w:type="dxa"/>
            <w:vAlign w:val="bottom"/>
            <w:tcBorders>
              <w:bottom w:val="single" w:sz="8" w:color="CCEEFF"/>
            </w:tcBorders>
            <w:gridSpan w:val="23"/>
            <w:shd w:val="clear" w:color="auto" w:fill="CCEEFF"/>
          </w:tcPr>
          <w:p>
            <w:pPr>
              <w:spacing w:after="0"/>
              <w:rPr>
                <w:sz w:val="17"/>
                <w:szCs w:val="17"/>
                <w:color w:val="auto"/>
              </w:rPr>
            </w:pPr>
          </w:p>
        </w:tc>
        <w:tc>
          <w:tcPr>
            <w:tcW w:w="2660" w:type="dxa"/>
            <w:vAlign w:val="bottom"/>
            <w:tcBorders>
              <w:bottom w:val="single" w:sz="8" w:color="CCEEFF"/>
            </w:tcBorders>
            <w:shd w:val="clear" w:color="auto" w:fill="CCEEFF"/>
          </w:tcPr>
          <w:p>
            <w:pPr>
              <w:jc w:val="center"/>
              <w:ind w:left="1590"/>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176"/>
        </w:trPr>
        <w:tc>
          <w:tcPr>
            <w:tcW w:w="858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660" w:type="dxa"/>
            <w:vAlign w:val="bottom"/>
          </w:tcPr>
          <w:p>
            <w:pPr>
              <w:jc w:val="center"/>
              <w:ind w:left="1590"/>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75"/>
        </w:trPr>
        <w:tc>
          <w:tcPr>
            <w:tcW w:w="858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INDEMNIFICATION FOR SECURITIES ACT LIABILITIES</w:t>
            </w:r>
          </w:p>
        </w:tc>
        <w:tc>
          <w:tcPr>
            <w:tcW w:w="2660" w:type="dxa"/>
            <w:vAlign w:val="bottom"/>
            <w:shd w:val="clear" w:color="auto" w:fill="CCEEFF"/>
          </w:tcPr>
          <w:p>
            <w:pPr>
              <w:jc w:val="center"/>
              <w:ind w:left="1590"/>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registration statement on Form S-3 (File No. 333-282013) that we have filed with the U.S. Securities and Exchange Commission, or the SEC, utilizing a “shelf” registration process. By using a shelf registration statement, we may offer shares of our common stock having an aggregate offering price of up to $14,221,459 from time to time under this prospectus supplement and the accompanying prospectus at prices and on terms to be determined by market conditions at the time of offering.</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terms of this offering of common stock and related matters and also adds to and updates information contained in the accompanying prospectus and the documents incorporated by reference herein and therein. The second part is the accompanying prospectus, including the documents incorporated by reference into the accompanying prospectus, which gives more general information, some of which may not apply to this offering of common stock. Generally, when we refer to this prospectus, we are referring to both parts of this document combined. To the extent the information contained in this prospectus supplement differs or varies from the information contained in the accompanying prospectus or any document incorporated by reference herein or therein filed prior to the date of this prospectus supplement, the information in this prospectus supplement shall control; provided that if any statement in one of these documents is inconsistent with a statement in another document having a later date - for example, a document incorporated by reference in the accompanying prospectus - the statement in the document having the later date modifies or supersedes the earlier statement.</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not, and the Sales Agent has not, authorized anyone to provide you with information other than that contained, or incorporated by reference, in this prospectus supplement and the accompanying prospectus and your reliance on any unauthorized information or representation is at your own risk. We are not, and the Sales Agent is not, making an offer to sell or soliciting any offer to buy our common stock in any jurisdiction where the offer or sale is not permitted or in which the person making that offer or solicitation is not qualified to do so or to anyone to whom it is unlawful to make an offer or solicitation. You should assume that the information appearing in this prospectus supplement, the accompanying prospectus, the documents incorporated by reference herein and therein and any prospectus supplement or free writing prospectus that we have authorized for use in connection with this offering is accurate only as of the date of those respective documents. Our business, financial condition, results of operations and prospects may have changed since those dates. You should read this prospectus supplement, the accompanying prospectus, the documents incorporated by reference herein and therein and any free writing prospectus that we have authorized for use in connection with this offering in their entirety before making an investment decision.</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supplement does not contain all of the information that is important to you. Before buying any of the common stock that we are offering, we urge you to carefully read this prospectus supplement and all of the information incorporated by reference herein and therein, as well as the additional information described under the heading “Where You Can Find More Information.” These documents contain important information that you should consider when making your investment decision.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offering to sell, and seeking offers to buy, shares of common stock only in jurisdictions where offers and sales are permitted. The distribution of this prospectus supplement, the accompanying prospectus and the offering of the common stock in certain jurisdictions may be restricted by law. Persons outside the United States who come into possession of this prospectus supplement and the accompanying prospectus must inform themselves about, and observe any restrictions relating to, the offering of the common stock and the distribution of this prospectus supplement and the accompanying prospectus outside the United States. This prospectus does not constitute, and may not be used in connection with, an offer to sell, or a solicitation of an offer to buy, any securities offered by this prospectus by any person in any jurisdiction in which it is unlawful for such person to make such an offer or solicitation.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used in this prospectus supplement, unless otherwise indicated or the context otherwise requires, references to “we,” “us,” “our,” the “Company,” “Registrant,” and “Tigo” refer to the consolidated operations of Tigo Energy, Inc. (formerly known as Roth CH Acquisition IV Co.) and its subsidiaries. References to “ROCG” refer to the Company prior to the consummation of the Business Combination (as defined below) and references to “Legacy Tigo” refer to Tigo Energy, Inc. prior to the consummation of the Business Combination.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ROCG was originally formed as a Delaware corporation in February of 2019 for the purpose of effecting a merger, share exchange, asset acquisition, share purchase, recapitalization, reorganization, or other similar business combination with one or more businesses. On August 10, 2021, ROCG consummated its initial public offering, following which its securities began trading on the Nasdaq Capital Market.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5, 2022, ROCG, Roth IV Merger Sub Inc., a Delaware corporation and a wholly-owned subsidiary of ROCG (“Merger Sub”), and Legacy Tigo, entered into an Agreement and Plan of Merger, as amended on April 6, 2023 (the “Merger Agreement”), pursuant to which, among other transactions, on May 23, 2023 (the “Closing Date”), Merger Sub merged with and into Legacy Tigo (the “Merger”), with Legacy Tigo surviving the Merger as a wholly-owned subsidiary of ROCG (the Merger, together with the other transactions described in the Merger Agreement, the “Business Combination”). In connection with the closing of the Business Combination, ROCG changed its name to “Tigo Energy, Inc.”</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prospectus supplement and the documents incorporated by reference in this prospectus supplement contain “forward-looking statements” within the meaning of the Private Securities Litigation Reform Act of 1995. These forward-looking statements include, without limitation, statements regarding the financial position, business strategy and the plans and objectives of management for future operations. These statements constitute projections, forecasts and forward-looking statements, and are not guarantees of performance. Such statements can be identified by the fact that they do not relate strictly to historical or current facts. When used in this prospectus supplement and the documents incorporated by reference in this prospectus supplement, words such as “anticipate,” “believe,” “continue,” “could,” “estimate,” “expect,” “intend,” “may,” “might,” “plan,” “possible,” “potential,” “predict,” “project,” “should,” “strive,” “would” and similar expressions may identify forward-looking statements, but the absence of these words does not mean that a statement is not forward-looking. When the Company discusses its strategies or plans, the Company is making projections, forecasts or forward-looking statements. Such statements are based on the beliefs of, as well as assumptions made by and information currently available to, the Company’s management.</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Forward-looking statements in this prospectus supplement and the documents incorporated by reference in this prospectus supplement may include, for example, statements about:</w:t>
      </w:r>
    </w:p>
    <w:p>
      <w:pPr>
        <w:spacing w:after="0" w:line="162"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meet future liquidity requirements, which will likely require us to raise financing in the future;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projected financial information, anticipated growth rate and market opportunities of the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maintain the listing of securities on Nasdaq;</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develop and sell its product offerings and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manage risks associated with seasonal trends and the cyclical nature of the solar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liquidity and trading of the Company’s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acquire and protect intellectual property;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manage risks associated with the Company’s dependence on a small number of outside contract manufacturers;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continue working with leading solar manufacturers;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respond to fluctuations in foreign currency exchange rates and political unrest and regulatory changes in international markets into which the Company expands or otherwise operate in;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enhance future operating and financial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monetize its inventory on-hand;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retain or recruit, or changes required in, its officers, key employees or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implement and maintain effective internal controls;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relating to the Company’s business, operations and financial performance, including:</w:t>
      </w:r>
    </w:p>
    <w:p>
      <w:pPr>
        <w:spacing w:after="0" w:line="225" w:lineRule="exact"/>
        <w:rPr>
          <w:sz w:val="20"/>
          <w:szCs w:val="20"/>
          <w:color w:val="auto"/>
        </w:rPr>
      </w:pPr>
    </w:p>
    <w:p>
      <w:pPr>
        <w:ind w:left="1300" w:hanging="320"/>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comply with laws and regulations applicable to its business;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and global and economic factors beyond the Company’s control;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compete in the highly competitive and evolving solar industry;</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continue to develop new products and innovations to meet constantly evolving customer demands;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enter into, successfully maintain and manage relationships with partners and distributors; and</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acquire or make investments in other businesses, patents, technologies, products or services to grow the business, and realize the anticipated benefits therefrom.</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cautions you that the foregoing list may not contain all of the forward-looking statements made in this prospectus supplement and the documents incorporated by reference in this prospectus supplement. These forward-looking statements are only predictions based on the Company’s current expectations and projections about future events and are subject to a number of risks, uncertainties and assumptions, including those described in this prospectus supplement and the documents incorporated by reference in this prospectus supplement, in particular the risks described in the section titled “Risk Factors” of this prospectus supplement and the documents incorporated by reference in this prospectus supplement. It is not possible for the management of the Company to predict all risks, nor can the Company assess the impact of all factors on the Company’s business or the extent to which any factor, or combination of factors, may cause actual results to differ materially from those contained in any forward-looking statements the Company may make. In light of these risks, uncertainties and assumptions, the forward-looking events and circumstances discussed in this prospectus supplement and the documents incorporated by reference in this prospectus supplement may not occur, and actual results could differ materially and adversely from those anticipated or implied in the forward-looking statements in this prospectus supplement and the documents incorporated by reference in this prospectus supplement.</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forward-looking statements included in this prospectus supplement and the documents incorporated by reference in this prospectus supplement are made only as of the date hereof. You should not rely upon forward-looking statements as predictions of future events. Although the Company believes that the expectations reflected in its forward-looking statements are reasonable, the Company cannot guarantee that the future results, levels of activity, performance or events and circumstances reflected in the forward-looking statements will be achieved or occur. The Company does not undertake any obligation to update publicly any forward-looking statements for any reason after the date of this prospectus supplement to conform these statements to actual results or to changes in expectations, except as required by law. You should read this prospectus supplement and the documents incorporated by reference in this prospectus supplement with the understanding that the actual future results, levels of activity, performance, events and circumstances of the Company may be materially different from what is expected.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228600</wp:posOffset>
            </wp:positionV>
            <wp:extent cx="7110730" cy="56102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0730" cy="5610225"/>
                    </a:xfrm>
                    <a:prstGeom prst="rect">
                      <a:avLst/>
                    </a:prstGeom>
                    <a:noFill/>
                  </pic:spPr>
                </pic:pic>
              </a:graphicData>
            </a:graphic>
          </wp:anchor>
        </w:drawing>
        <w:t>PROSPECTUS SUPPLEMENT SUMMARY</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This summary provides a general overview of selected information and does not contain all of the information you should consider before buying our common stock. Before you decide to invest in our common stock, you should read the entire prospectus supplement and the accompanying prospectus carefully, including the risk factors and the financial statements and related notes and other information included or incorporated by reference in this prospectus supplement and the accompanying prospectus.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mission is to deliver smart system solutions, combining hardware and software, which enhance safety, increase energy yield, and lower operating costs of residential, commercial, and utility-scale solar systems. We believe we are a worldwide leader in the development and delivery of products and solutions that are flexible and dependable, increasing the energy generation of solar energy systems.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served the solar energy industry with advanced power electronics, including the manufacturing and development of our Module Level Power Electronics (“MLPEs”), since our inception in 2007. Until 2021, we primarily focused on our MLPEs, which are devices that reside under the solar panel and improve safety features and energy production for the installer and system owner. Our MLPEs are designed to be highly flexible solutions that work with other inverters and modules, providing the installer with an open system solution and a variety of choices when designing a system for the consumer.</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the solar optimizer and inverter space has been historically served by two major suppliers, we expect to attract new customers and gain market share by expanding sales of our MLPEs, which provide solar panel power optimization and rapid shutdown, our GO Energy Storage Systems (“GO ESS”), (formerly referred to as the Tigo EI Solution), which provides solar energy storage management capabilities, and our Energy Intelligence (“EI”) platform which provides monitoring and energy demand forecasting capabilities. We began to offer our GO ESS to residential customers in the United States (“U.S.”) and Europe in late 2021 and 2022, respectively, and added our energy demand forecasting software capabilities through our acquisition of Foresight Energy, Ltd. in the first quarter of 2023. Our products power everything from single-digit kilowatt residential systems to commercial, industrial, and utility systems, scaling to hundreds of megawatts on rooftop, ground-mounted, and floating applications.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were incorporated in Delaware on February 13, 2019, under the name Roth CH Acquisition IV Co., in order to effectuate a merger, capital stock exchange, asset acquisition, stock purchase, reorganization or similar business combination with one or more businesses. ROCG completed its initial public offering on August 10, 2021. On May 23, 2023, ROCG and Legacy Tigo consummated the transactions contemplated by the Merger Agreement. On the Closing Date, ROCG changed its name to Tigo Energy, Inc.</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mailing address of our principal executive office is 655 Campbell Technology Parkway, Suite 150, Campbell, California 95008, and our telephone number is (408) 402-0802. Our website is https://www.tigoenergy.com/. Information contained on our website is not a part of this prospectus, and the inclusion of our website address in this prospectus is an inactive textual reference only. Our common stock trades on Nasdaq under the symbol “TYGO.”</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20" w:top="644" w:right="4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90805</wp:posOffset>
            </wp:positionV>
            <wp:extent cx="7110730" cy="382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0730" cy="3827145"/>
                    </a:xfrm>
                    <a:prstGeom prst="rect">
                      <a:avLst/>
                    </a:prstGeom>
                    <a:noFill/>
                  </pic:spPr>
                </pic:pic>
              </a:graphicData>
            </a:graphic>
          </wp:anchor>
        </w:drawing>
        <w:t>Emerging Growth Company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of 1933, as amended, or the Securities Act, as modified by the Jumpstart Our Business Startups Act of 2012, or the JOBS Act, and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w:t>
      </w:r>
    </w:p>
    <w:p>
      <w:pPr>
        <w:spacing w:after="0" w:line="18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under the JOBS Act until the earliest of (i) the last day of the fiscal year ending after the fifth anniversary of the completion of the initial public offering of our securities, (ii) the last date of our fiscal year in which we have a total annual gross revenue of at least $1.235 billion, (iii) the date on which we are deemed to be a “large accelerated filer” under the rules of the SEC with at least $700.0 million of outstanding securities held by non-affiliates or (iv) the date on which we have issued more than $1.0 billion in non-convertible debt securities during the previous three years.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Smaller Reporting Company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we qualify as a “smaller reporting company” as defined in Item 10(f)(1) of Regulation S-K under the Securities Act. Smaller reporting companies may take advantage of certain reduced disclosure obligations, including, among other things, providing only two years of audited financial statements. We will remain a smaller reporting company until the last day of the fiscal year in which we fail to meet the following criteria: (i) the market value of our common stock held by non-affiliates does not exceed $250 million as of the end of that fiscal year’s second fiscal quarter; or (ii) our annual revenues do not exceed $100 million during such completed fiscal year and the market value of our common stock held by non-affiliates does not exceed $700 million as of the end of that fiscal year’s second fiscal quarter. To the extent we take advantage of such reduced disclosure obligations, it may also make comparison of our financial statements with other public companies difficult or impossible.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20" w:top="644" w:right="45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90805</wp:posOffset>
            </wp:positionV>
            <wp:extent cx="7110730" cy="46501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0730" cy="4650105"/>
                    </a:xfrm>
                    <a:prstGeom prst="rect">
                      <a:avLst/>
                    </a:prstGeom>
                    <a:noFill/>
                  </pic:spPr>
                </pic:pic>
              </a:graphicData>
            </a:graphic>
          </wp:anchor>
        </w:drawing>
        <w:t>THE OFFERING</w:t>
      </w:r>
    </w:p>
    <w:p>
      <w:pPr>
        <w:spacing w:after="0" w:line="225" w:lineRule="exact"/>
        <w:rPr>
          <w:sz w:val="20"/>
          <w:szCs w:val="20"/>
          <w:color w:val="auto"/>
        </w:rPr>
      </w:pPr>
    </w:p>
    <w:p>
      <w:pPr>
        <w:spacing w:after="0"/>
        <w:tabs>
          <w:tab w:leader="none" w:pos="3180" w:val="left"/>
        </w:tabs>
        <w:rPr>
          <w:sz w:val="20"/>
          <w:szCs w:val="20"/>
          <w:color w:val="auto"/>
        </w:rPr>
      </w:pPr>
      <w:r>
        <w:rPr>
          <w:rFonts w:ascii="Times New Roman" w:cs="Times New Roman" w:eastAsia="Times New Roman" w:hAnsi="Times New Roman"/>
          <w:sz w:val="18"/>
          <w:szCs w:val="18"/>
          <w:b w:val="1"/>
          <w:bCs w:val="1"/>
          <w:color w:val="auto"/>
        </w:rPr>
        <w:t>Common stock offered by us</w:t>
      </w:r>
      <w:r>
        <w:rPr>
          <w:sz w:val="20"/>
          <w:szCs w:val="20"/>
          <w:color w:val="auto"/>
        </w:rPr>
        <w:tab/>
      </w:r>
      <w:r>
        <w:rPr>
          <w:rFonts w:ascii="Times New Roman" w:cs="Times New Roman" w:eastAsia="Times New Roman" w:hAnsi="Times New Roman"/>
          <w:sz w:val="18"/>
          <w:szCs w:val="18"/>
          <w:color w:val="auto"/>
        </w:rPr>
        <w:t>Shares of our common stock having an aggregate offering price of up to $14,221,459.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outstanding following this</w:t>
      </w:r>
      <w:r>
        <w:rPr>
          <w:rFonts w:ascii="Times New Roman" w:cs="Times New Roman" w:eastAsia="Times New Roman" w:hAnsi="Times New Roman"/>
          <w:sz w:val="18"/>
          <w:szCs w:val="18"/>
          <w:color w:val="auto"/>
        </w:rPr>
        <w:t>75,557,438 (assuming 14,814,020 shares of our common stock are sold in this offering at an offering price</w:t>
      </w:r>
    </w:p>
    <w:p>
      <w:pPr>
        <w:spacing w:after="0" w:line="31" w:lineRule="exact"/>
        <w:rPr>
          <w:sz w:val="20"/>
          <w:szCs w:val="20"/>
          <w:color w:val="auto"/>
        </w:rPr>
      </w:pPr>
    </w:p>
    <w:p>
      <w:pPr>
        <w:jc w:val="both"/>
        <w:ind w:left="3200" w:hanging="3039"/>
        <w:spacing w:after="0" w:line="255" w:lineRule="auto"/>
        <w:tabs>
          <w:tab w:leader="none" w:pos="3180" w:val="left"/>
        </w:tabs>
        <w:rPr>
          <w:sz w:val="20"/>
          <w:szCs w:val="20"/>
          <w:color w:val="auto"/>
        </w:rPr>
      </w:pPr>
      <w:r>
        <w:rPr>
          <w:rFonts w:ascii="Times New Roman" w:cs="Times New Roman" w:eastAsia="Times New Roman" w:hAnsi="Times New Roman"/>
          <w:sz w:val="18"/>
          <w:szCs w:val="18"/>
          <w:b w:val="1"/>
          <w:bCs w:val="1"/>
          <w:color w:val="auto"/>
        </w:rPr>
        <w:t>offering</w:t>
      </w:r>
      <w:r>
        <w:rPr>
          <w:sz w:val="20"/>
          <w:szCs w:val="20"/>
          <w:color w:val="auto"/>
        </w:rPr>
        <w:tab/>
      </w:r>
      <w:r>
        <w:rPr>
          <w:rFonts w:ascii="Times New Roman" w:cs="Times New Roman" w:eastAsia="Times New Roman" w:hAnsi="Times New Roman"/>
          <w:sz w:val="18"/>
          <w:szCs w:val="18"/>
          <w:color w:val="auto"/>
        </w:rPr>
        <w:t>of $0.96 per share, which was the last reported sale price of our common stock on Nasdaq on November 21, 2024. The actual number of shares of common stock issued will vary depending on how many shares of our common stock we choose to sell and the prices at which such sales occur.)</w:t>
      </w:r>
    </w:p>
    <w:p>
      <w:pPr>
        <w:sectPr>
          <w:pgSz w:w="11900" w:h="16838" w:orient="portrait"/>
          <w:cols w:equalWidth="0" w:num="1">
            <w:col w:w="11000"/>
          </w:cols>
          <w:pgMar w:left="420" w:top="428" w:right="479" w:bottom="1440" w:gutter="0" w:footer="0" w:header="0"/>
        </w:sectPr>
      </w:pP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market offering” that may be made from time to time on Nasdaq or other existing trading market for our common stock through the Sales Agent. See the section titled “Plan of Distribution” on page S-10 of this prospectus supplement.</w:t>
      </w:r>
    </w:p>
    <w:p>
      <w:pPr>
        <w:spacing w:after="0" w:line="172" w:lineRule="exact"/>
        <w:rPr>
          <w:sz w:val="20"/>
          <w:szCs w:val="20"/>
          <w:color w:val="auto"/>
        </w:rPr>
      </w:pPr>
    </w:p>
    <w:p>
      <w:pPr>
        <w:sectPr>
          <w:pgSz w:w="11900" w:h="16838" w:orient="portrait"/>
          <w:cols w:equalWidth="0" w:num="2">
            <w:col w:w="2480" w:space="720"/>
            <w:col w:w="7800"/>
          </w:cols>
          <w:pgMar w:left="420" w:top="428"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of this offering for general corporate and working capital purposes. See the section titled “Use of Proceeds” on page S-7 of this prospectus supplement.</w:t>
      </w:r>
    </w:p>
    <w:p>
      <w:pPr>
        <w:spacing w:after="0" w:line="158" w:lineRule="exact"/>
        <w:rPr>
          <w:sz w:val="20"/>
          <w:szCs w:val="20"/>
          <w:color w:val="auto"/>
        </w:rPr>
      </w:pPr>
    </w:p>
    <w:p>
      <w:pPr>
        <w:sectPr>
          <w:pgSz w:w="11900" w:h="16838" w:orient="portrait"/>
          <w:cols w:equalWidth="0" w:num="2">
            <w:col w:w="2480" w:space="720"/>
            <w:col w:w="7800"/>
          </w:cols>
          <w:pgMar w:left="420" w:top="428"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See “Risk Factors” beginning on page S-4 of this prospectus supplement and the other information included in, or incorporated by reference into, this prospectus supplement for a discussion of certain factors you should carefully consider before deciding to invest in shares of our common stock.</w:t>
      </w:r>
    </w:p>
    <w:p>
      <w:pPr>
        <w:spacing w:after="0" w:line="172" w:lineRule="exact"/>
        <w:rPr>
          <w:sz w:val="20"/>
          <w:szCs w:val="20"/>
          <w:color w:val="auto"/>
        </w:rPr>
      </w:pPr>
    </w:p>
    <w:p>
      <w:pPr>
        <w:sectPr>
          <w:pgSz w:w="11900" w:h="16838" w:orient="portrait"/>
          <w:cols w:equalWidth="0" w:num="2">
            <w:col w:w="2480" w:space="720"/>
            <w:col w:w="7800"/>
          </w:cols>
          <w:pgMar w:left="420" w:top="428"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Nasdaq Stock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“TYGO”</w:t>
      </w:r>
    </w:p>
    <w:p>
      <w:pPr>
        <w:spacing w:after="0" w:line="200" w:lineRule="exact"/>
        <w:rPr>
          <w:sz w:val="20"/>
          <w:szCs w:val="20"/>
          <w:color w:val="auto"/>
        </w:rPr>
      </w:pPr>
    </w:p>
    <w:p>
      <w:pPr>
        <w:sectPr>
          <w:pgSz w:w="11900" w:h="16838" w:orient="portrait"/>
          <w:cols w:equalWidth="0" w:num="2">
            <w:col w:w="2480" w:space="720"/>
            <w:col w:w="7800"/>
          </w:cols>
          <w:pgMar w:left="420" w:top="428" w:right="479" w:bottom="1440" w:gutter="0" w:footer="0" w:header="0"/>
          <w:type w:val="continuous"/>
        </w:sectPr>
      </w:pPr>
    </w:p>
    <w:p>
      <w:pPr>
        <w:spacing w:after="0" w:line="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number of shares of our common stock to be outstanding prior to this offering as shown above is based on 60,743,418 shares of our common stock legally outstanding as of November 21, 2024, and excludes:</w:t>
      </w:r>
    </w:p>
    <w:p>
      <w:pPr>
        <w:spacing w:after="0" w:line="162" w:lineRule="exact"/>
        <w:rPr>
          <w:sz w:val="20"/>
          <w:szCs w:val="20"/>
          <w:color w:val="auto"/>
        </w:rPr>
      </w:pPr>
    </w:p>
    <w:p>
      <w:pPr>
        <w:ind w:left="660" w:hanging="329"/>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5,742,144 shares of our common stock issuable upon the exercise of stock options outstanding as of November 21, 2024, having a weighted average exercise price of $3.04 per share;</w:t>
      </w:r>
    </w:p>
    <w:p>
      <w:pPr>
        <w:spacing w:after="0" w:line="161"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1,963,186 shares of common stock issuable upon the vesting of restricted stock units outstanding as of November 21, 2024; and</w:t>
      </w:r>
    </w:p>
    <w:p>
      <w:pPr>
        <w:spacing w:after="0" w:line="225"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of 867,780 shares of common stock reserved for future issuance under our equity incentive plan as of November 21, 2024.</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20" w:top="428" w:right="479" w:bottom="1440" w:gutter="0" w:footer="0" w:header="0"/>
          <w:type w:val="continuous"/>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Investment in our common stock offered pursuant to this prospectus supplement involves risks. Our business, financial condition, and results of operations could be materially adversely affected by any of these risks. The trading price of our securities could decline due to any of these risks, and you may lose all or part of your investment. Before you make an investment decision regarding the securities, you should carefully consider the risks and uncertainties in our most recent Annual Report on Form 10-K, and in any updates to those Risk Factors in our Quarterly Reports on Form 10-Q, together with all of the other information appearing in this prospectus supplement or incorporated by reference into this prospectus supplement and the accompanying prospectus, in light of your particular investment objectives and financial circumstances. The risks described in those documents are not the only ones that we face. Additional risks and uncertainties not presently known to us or that we currently deem immaterial may also affect our business operations, our financial results and the value of the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Risks Relating to our Company, our common stock and this Offering</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to determine how to use the funds raised in this offering, and may use them in ways that may not enhance our operating results or the price of our common stock.</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will have broad discretion over the use of proceeds from this offering, and we could spend the proceeds from this offering in ways our stockholders may not agree with or that do not yield a favorable return, if at all. Because of the number and variability of factors that will determine our use of the proceeds from this offering, their ultimate use may vary substantially from their currently intended use. We expect to use the proceeds from this offering for working capital and other general corporate purposes. If we do not invest or apply the proceeds from this offering in ways that enhance stockholder value, we may fail to achieve expected financial results, which could cause our stock price to decline.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has been, and may continue to be, volatile, and the value of our common stock may decline.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Fluctuations in the price of the Company’s securities could contribute to the loss of all or part of your investment. The trading price of our common stock has and may continue to be volatile and subject to wide fluctuations. For example, following the Business Combination through September 30, 2024, the price of our common stock ranged from a low of $0.92 to a high of $26.26. Prior to the Business Combination, there was not a public market for the stock of Legacy Tigo. The price of the common stock that will prevail in the market may be higher or lower than that of this offering depending on numerous factors, some of which are beyond our control and may not be directly related to our operating performance. These factors include, but are not limited to, the following:</w:t>
      </w:r>
    </w:p>
    <w:p>
      <w:pPr>
        <w:spacing w:after="0" w:line="187"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results or the quarterly financial results of companies perceived to be similar to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expectations about the Company’s operating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results failing to meet the expectations of securities analysts or investors in a particular period;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and recommendations by securities analysts concerning the Company or the industry in which the Company operates in general;</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9" w:name="page10"/>
    <w:bookmarkEnd w:id="9"/>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stock price performance of other companies that investors deem comparable to the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market new and enhanced products and services on a timely basis;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the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Company’s capital structure, such as future issuances of securities or the incurrence of additional debt;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shares of the Company’s common stock available for public sale;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the Company’s board or management;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the Company’s common stock by our directors, executive officers or significant stockholders or the perception that such sales could occur;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changes in interest rates, changes in fuel prices, international currency fluctuations and acts of war or terrorism.</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of these factors could have a significant and adverse impact on the market price of our common stock. In addition, the stock market in general has at times experienced extreme volatility and rapid decline that has often been unrelated or disproportionate to the operating performance of particular companies. These broad market fluctuations may adversely affect the trading price of our common stock, regardless of our actual operating performance.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cannot assure you that the market price of our common stock will not decline. Accordingly, we cannot assure you that you will be able to sell your common stock at a price equal to or greater than the purchase price.</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You may experience future dilution as a result of future equity offerings and other issuances of our common stock or other securities, including securities that are exercisable for or convertible into common stock. In addition, this offering and future equity offerings and other issuances of our common stock or other securities, or the perception of such offerings, may adversely affect the trading price of our common stock.</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order to raise additional capital, we may in the future offer additional shares of our common stock or other securities convertible into or exchangeable for our common stock at prices that may not be the same as the price per share in this offering. We may not be able to sell shares or other securities in any other offering at a price per share that is equal to or greater than the price per share paid by investors in this offering, and investors purchasing shares or other securities in the future could have rights superior to existing stockholders. The price per share at which we sell additional shares of our common stock or securities convertible into common stock in future transactions may be higher or lower than the price per share in this offering. You will incur dilution upon exercise of any outstanding stock options or upon the issuance of shares of common stock under our stock incentive programs.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sale of a substantial number of shares of our common stock or other equity-related securities in the public markets, or the perception that such sales could occur, could depress the market price of our common stock and impair our ability to raise capital through the sale of additional equity securities. We may sell large quantities of our common stock at any time pursuant to this prospectus or in one or more separate offerings. We cannot predict the effect that future sales of common stock or other equity-related securities would have on the market price of our common stock.</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actual number of shares we will issue under the ATM Agreement and the gross proceeds resulting from those sales, at any one time or in total, is uncertain.</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certain limitations in the ATM Agreement and compliance with applicable law, we have the discretion to deliver a placement notice to the Sales Agent at any time throughout the term of the ATM Agreement. The number of shares that are sold by the Sales Agent after delivering a placement notice will fluctuate based on the market price and trading volume of our common stock during the sales period and limits we set. Because the price per share of each share sold will fluctuate based on the market price of our common stock during the sales period, it is not possible at this stage to predict the number of shares that will be ultimately issued, the price per share or the gross proceeds to be raised in connection with those sales.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common stock offered hereby will be sold in “at the market offerings,” and investors who buy shares at different times will likely pay different prices.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Investors who purchase shares in this offering at different times will likely pay different prices, and so may experience different outcomes in their investment results. We will have discretion, subject to market demand, to vary the timing, prices, and numbers of shares sold, and there is no minimum or maximum sales price. Investors may experience a decline in the value of their shares as a result of share sales made at prices lower than the prices they paid.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future dividends on our common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not paid cash dividends on our common stock and currently do not anticipate paying future cash dividends on our common stock. Any determination to pay future dividends and other distributions in cash, stock, or property by us in the future will be at the discretion of our Board of Directors (the “Board”) and will be dependent on then-existing conditions, including our financial condition and results of operations and contractual restrictions. We are also limited in our ability to pay dividends or make other distributions to our shareholders without the consent of our lender. Therefore, stockholders should not rely on future dividend income from shares of our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immediate and substantial dilution in the book value per share of the common stock you purchase.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Because the price per share of our common stock being offered is substantially higher than the as adjusted net tangible book value per share of our common stock, you may suffer immediate and substantial dilution with respect to the net tangible book value of the common stock you purchase in this offering. After giving effect to the sale of 14,814,020 shares of common stock at an assumed price of $0.96 per share, the last reported sale price of our common stock on Nasdaq on November 21, 2024, and after deducting the estimated offering-related expenses payable by us, our as adjusted net tangible book value as of September 30, 2024 would have been approximately $32,747,000, or $0.43 per share. This amount represents an immediate increase in the adjusted net tangible book value of $0.11 per share to investors purchasing shares of our common stock in this offering. See “Dilution” for a more detailed discussion of the dilution you may incur in connection with this offering. To the extent outstanding options are exercised, you would incur further dilution. In addition, to the extent we need to raise additional capital in the future and we issue additional shares of common stock or securities convertible or exchangeable for our common stock, our then existing stockholders may experience dilution and the new securities may have rights senior to those of our common stock offered in this offering.</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issue and sell shares of our common stock having aggregate sales proceeds of up to $14,221,459 from time to time under this prospectus. Because there is no minimum offering amount required as a condition to close this offering, the actual total public offering amount, commissions and proceeds to us, if any, are not determinable at this time.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management has broad discretion over the uses of the net proceeds in this offering. We intend to use the net proceeds, if any, from this offering for general corporate and working capital purposes.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Pending the use of the net proceeds described above, we plan to invest the net proceeds from this offering in a variety of capital preservation investments, including short- and intermediate-term, interest-bearing obligations, investment-grade instruments, certificates of deposit or direct or guaranteed obligations of the U.S. government.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not declared or paid any dividends on our capital stock to date. We anticipate that we will retain all of our future earnings, if any, for use in the operation and expansion of our business and do not anticipate paying cash dividends in the foreseeable future. Any future determination related to our dividend policy will be made at the discretion of our Board after considering our business prospects, results of operations, financial condition, cash requirements and availability, debt repayment obligations, capital expenditure needs, contractual restrictions, covenants in the agreements governing current and future indebtedness, industry trends, the provisions of Delaware law affecting the payment of dividends and distributions to stockholders and any other factors or considerations the Board deems relevant.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you invest in this offering, your ownership interest will be diluted to the extent of the difference between the price per share you pay in this offering and the as adjusted net tangible book value per share of our common stock after this offering.</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2024, we had a net tangible book value of approximately $19,271,000, or approximately $0.32 per share of common stock, based upon 60,743,061 shares outstanding. Our net tangible book value per share represents total tangible assets less total liabilities, divided by the number of shares of common stock outstanding at September 30, 2024.</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After giving effect to the sale of our common stock in the aggregate amount of $14,221,459 at an assumed offering price of $0.96 per share, the last reported sale price of our common stock on Nasdaq on November 21, 2024, and after deducting commissions and estimated offering expenses payable by us, our as adjusted net tangible book value as of September 30, 2024 would have been approximately $32,747,000, or $0.43 per share of common stock. This represents an immediate increase in net tangible book value of $0.11 per share to our existing stockholders and an immediate dilution in net tangible book value of $0.53 per share to new investors in this offering.</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 illustrates this calculation on a per share basis. The as adjusted information is illustrative only and will adjust based on the actual price to the public, the actual number of shares sold and other terms of the offering determined at the time shares of our common stock are sold pursuant to this prospectus supplement. The as adjusted information assumes that all of our common stock in the aggregate amount of $14,221,459 is sold at the assumed offering price of $0.96 per share, the last reported sale price of our common stock on Nasdaq on November 21, 2024. The shares sold in this offering, if any, will be sold from time to time at various prices.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public offering price per share</w:t>
            </w:r>
          </w:p>
        </w:tc>
        <w:tc>
          <w:tcPr>
            <w:tcW w:w="4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0.96</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tangible book value per share as of September 30, 2024</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0.32</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Increase in net tangible book value per share attributable to the offering</w:t>
            </w:r>
          </w:p>
        </w:tc>
        <w:tc>
          <w:tcPr>
            <w:tcW w:w="4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0.11</w:t>
            </w: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3"/>
        </w:trPr>
        <w:tc>
          <w:tcPr>
            <w:tcW w:w="868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adjusted net tangible book value per share after giving effect to the offering</w:t>
            </w:r>
          </w:p>
        </w:tc>
        <w:tc>
          <w:tcPr>
            <w:tcW w:w="4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0.43</w:t>
            </w:r>
          </w:p>
        </w:tc>
      </w:tr>
      <w:tr>
        <w:trPr>
          <w:trHeight w:val="203"/>
        </w:trPr>
        <w:tc>
          <w:tcPr>
            <w:tcW w:w="868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6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 participating in the offering</w:t>
            </w:r>
          </w:p>
        </w:tc>
        <w:tc>
          <w:tcPr>
            <w:tcW w:w="440" w:type="dxa"/>
            <w:vAlign w:val="bottom"/>
            <w:shd w:val="clear" w:color="auto" w:fill="CCEEFF"/>
          </w:tcPr>
          <w:p>
            <w:pPr>
              <w:spacing w:after="0"/>
              <w:rPr>
                <w:sz w:val="22"/>
                <w:szCs w:val="22"/>
                <w:color w:val="auto"/>
              </w:rPr>
            </w:pPr>
          </w:p>
        </w:tc>
        <w:tc>
          <w:tcPr>
            <w:tcW w:w="13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0.53</w:t>
            </w: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discussion and table are based on 60,743,061 shares of our common stock legally outstanding as of September 30, 2024, and excludes:</w:t>
      </w:r>
    </w:p>
    <w:p>
      <w:pPr>
        <w:spacing w:after="0" w:line="225" w:lineRule="exact"/>
        <w:rPr>
          <w:sz w:val="20"/>
          <w:szCs w:val="20"/>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6,056,005 shares of our common stock issuable upon the exercise of stock options outstanding as of September 30, 2024, having a weighted average exercise price of $3.17 per share;</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2,102,210 shares of common stock issuable upon the vesting of restricted stock units outstanding as of September 30, 2024;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of 245,773 shares of common stock reserved for future issuance under our equity incentive plan as of September 30, 2024.</w:t>
      </w:r>
    </w:p>
    <w:p>
      <w:pPr>
        <w:spacing w:after="0" w:line="22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To the extent that any of these options are exercised, restricted stock units are settled, new options or restricted stock units are issued under our equity incentive plans and subsequently exercised or settled or we issue additional shares of common stock or securities that are convertible into or exchangeable for, or that represent the right to receive, common stock or substantially similar securities in the future, there will be further dilution to investors participating in this offering.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entered into the ATM Agreement with the Sales Agent under which we may issue and sell shares of our common stock from time to time having an aggregate gross sales price of up to the amount set forth on the cover page of this prospectus supplement through or to the Sales Agent acting as sales agent or principal.</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Upon delivery of a placement notice and subject to the terms and conditions of the ATM Agreement, the Sales Agent may offer and sell our common stock by any method permitted by law deemed to be an “at-the-market” offering as defined in Rule 415(a)(4) promulgated under the Securities Act, including sales made directly on or through the Nasdaq Capital Market, any other existing trading market of our common stock, sales made to or through a market maker other than on an exchange or otherwise, directly to the Sales Agent as principal, in negotiated transactions at market prices prevailing at the time of sale or at prices related to such prevailing market prices, and/or in any other method permitted by law. We may instruct the Sales Agent not to sell common stock if the sales cannot be effected at or above the price designated by us from time to time. We or the Sales Agent may suspend the offering of common stock upon notice and subject to other conditions.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will pay the Sales Agent commissions, in cash, for its services in acting as agent in the sale of our common stock. the Sales Agent will be entitled to compensation at a commission rate of up to 3.0% of the gross sales price per share sold pursuant to the ATM Agreement. Because there is no minimum offering amount required as a condition of this offering, the actual total public offering amount, commissions and proceeds to us, if any, are not determinable at this time. We have also agreed to reimburse the Sales Agent for certain specified expenses in an amount up to $75,000, in addition to up to $5,000 per due diligence update session for certain specified expenses for a bringdown at the time the Company files their annual report on Form 10-K or a new registration statement and up to $2,500 for bringdown per due diligence session for certain specified expenses at the time the Company files their quarterly reports on Form 10-Q. We estimate that the total expenses for the offering, excluding compensation and reimbursements payable to the Sales Agent under the terms of the ATM Agreement, will be approximately $0.2 million.</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Settlement for sales of common stock will generally occur on the first trading day following the date on which any sales are made (or any such shorter settlement cycle as may be in effect under Exchange Act Rule 15c6-1 from time to time), or on some other date that is agreed upon by us and the Sales Agent in connection with a particular transaction, in return for payment of the net proceeds to us. Sales of our common stock as contemplated in this prospectus supplement and the accompanying prospectus will be settled through the facilities of The Depository Trust Company or by such other means as we and the Sales Agent may agree upon. There is no arrangement for funds to be received in an escrow, trust or similar arrangement.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Sales Agent will use its commercially reasonable efforts, consistent with its sales and trading practices, to solicit offers to purchase shares of our common stock under the terms and subject to the conditions set forth in the ATM Agreement. In connection with the sale of the common stock on our behalf, the Sales Agent will be deemed to be an “underwriter” within the meaning of the Securities Act and the compensation of the Sales Agent will be deemed to be underwriting commissions or discounts. We have agreed to provide indemnification and contribution to the Sales Agent against certain civil liabilities, including liabilities under the Securities Act.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offering of our common stock pursuant to the ATM Agreement will terminate upon termination of the ATM Agreement or as otherwise permitted therein. We and the Sales Agent may each terminate the ATM Agreement at any time upon five business days’ prior written notice.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required by Regulation M, the Sales Agent will not engage in any market making activities involving our common stock while the offering is ongoing under this prospectus supplement. The Sales Agent and its affiliates have in the past and may in the future provide various investment banking, commercial banking and other financial services for us and our affiliates, for which services they may in the future receive customary fees.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summary of the material provisions of the ATM Agreement does not purport to be a complete statement of its terms and conditions. A copy of the ATM Agreement will be filed as an exhibit to a current report on Form 8-K and is incorporated by reference into this prospectus supplement. See “Where You Can Find More Information” and “Incorporation of Certain Information by Reference” below.</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prospectus supplement in electronic format may be made available on a website maintained by the Sales Agent and the Sales Agent may distribute this prospectus electronically.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validity of the securities to be offered by this prospectus supplement will be passed upon for us by White &amp; Case LLP, 609 Main Street, Houston, Texas 77002. Craig-Hallum is being represented in connection with this offering by Ellenoff Grossman &amp; Schole LLP.</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financial statements of Tigo Energy, Inc. and subsidiaries as of and for the year ended December 31, 2023, incorporated by reference in this prospectus,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filed with the SEC a “shelf” registration statement on Form S-3 under the Securities Act with respect to the securities offered by this prospectus supplement. This prospectus supplement and the accompanying prospectus, which are part of the registration statement, omits certain information, exhibits, schedules and undertakings set forth in the registration statement, as permitted by the SEC. For further information pertaining to us and the securities offered in this prospectus supplement, reference is made to that registration statement and the exhibits and schedules to the registration statement. Statements contained in this prospectus supplement and the accompanying prospectus as to the contents or provisions of any documents referred to in this prospectus are not necessarily complete, and in each instance where a copy of the document has been filed as an exhibit to the registration statement, reference is made to the exhibit for a more complete description of the matters involved.</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The SEC maintains a website at www.sec.gov that contains reports, proxy and information statements and other information regarding issuers that file electronically with the SEC, including us.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common stock is listed on Nasdaq under the symbol “TYGO.” General information about our company, including our Annual Report on Form 10-K, Quarterly Reports on Form 10-Q and Current Reports on Form 8-K, as well as any amendments and exhibits to those reports, are available free of charge through our website at https://www.tigoenergy.com/ as soon as reasonably practicable after we file them with, or furnish them to, the SEC. We have included our website address in this prospectus supplement solely as an inactive textual reference. Information on, or than can be accessed through, our website is not incorporated into this prospectus supplement or other securities filings and is not a part of these filings.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supplement the information we file with it, which means that we can disclose important information to you by referring you to those documents. The information we incorporate by reference is an important part of this prospectus supplement, and later information that we file with the SEC will automatically update and supersede some of this information. We incorporate by reference the documents listed below and any future filings we make with the SEC under Section 13(a), 13(c), 14 or 15(d) of the Exchange Act, including filings made after the date of the initial registration statement, until we sell all of the shares covered by this prospectus supplement or the sale of shares by us pursuant to this prospectus supplement is terminated. In no event, however, will any of the information that we furnish to, pursuant to Item 2.02 or Item 7.01 of any Current Report on Form 8-K (including exhibits related thereto) or other applicable SEC rules, rather than file with, the SEC be incorporated by reference or otherwise be included herein, unless such information is expressly incorporated herein by a reference in such furnished Current Report on Form 8-K or other furnished document. The documents we incorporate by reference are:</w:t>
      </w:r>
    </w:p>
    <w:p>
      <w:pPr>
        <w:spacing w:after="0" w:line="188" w:lineRule="exact"/>
        <w:rPr>
          <w:sz w:val="20"/>
          <w:szCs w:val="20"/>
          <w:color w:val="auto"/>
        </w:rPr>
      </w:pPr>
    </w:p>
    <w:p>
      <w:pPr>
        <w:ind w:left="700" w:hanging="328"/>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1">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2023, filed with the SEC on March 21, 2024;</w:t>
      </w:r>
    </w:p>
    <w:p>
      <w:pPr>
        <w:spacing w:after="0" w:line="225" w:lineRule="exact"/>
        <w:rPr>
          <w:rFonts w:ascii="Times New Roman" w:cs="Times New Roman" w:eastAsia="Times New Roman" w:hAnsi="Times New Roman"/>
          <w:sz w:val="18"/>
          <w:szCs w:val="18"/>
          <w:color w:val="auto"/>
        </w:rPr>
      </w:pPr>
    </w:p>
    <w:p>
      <w:pPr>
        <w:jc w:val="both"/>
        <w:ind w:left="700" w:hanging="328"/>
        <w:spacing w:after="0" w:line="266" w:lineRule="auto"/>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w:t>
      </w:r>
      <w:hyperlink r:id="rId31">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year ended December 31, 2023, from our Definitive Proxy Statement on </w:t>
      </w:r>
      <w:hyperlink r:id="rId32">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xml:space="preserve">, filed with the SEC on April 5, 2024, as supplemented by our Additional Definitive Proxy Materials on </w:t>
      </w:r>
      <w:hyperlink r:id="rId33">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with the SEC on April 19, 2024;</w:t>
      </w:r>
    </w:p>
    <w:p>
      <w:pPr>
        <w:spacing w:after="0" w:line="175" w:lineRule="exact"/>
        <w:rPr>
          <w:rFonts w:ascii="Times New Roman" w:cs="Times New Roman" w:eastAsia="Times New Roman" w:hAnsi="Times New Roman"/>
          <w:sz w:val="18"/>
          <w:szCs w:val="18"/>
          <w:color w:val="auto"/>
        </w:rPr>
      </w:pPr>
    </w:p>
    <w:p>
      <w:pPr>
        <w:jc w:val="both"/>
        <w:ind w:left="700" w:hanging="328"/>
        <w:spacing w:after="0" w:line="266" w:lineRule="auto"/>
        <w:tabs>
          <w:tab w:leader="none" w:pos="700" w:val="left"/>
        </w:tabs>
        <w:numPr>
          <w:ilvl w:val="0"/>
          <w:numId w:val="8"/>
        </w:numPr>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auto"/>
          </w:rPr>
          <w:t xml:space="preserve">our Quarterly Report on </w:t>
        </w:r>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color w:val="auto"/>
          </w:rPr>
          <w:t xml:space="preserve"> for the quarter ended March 31, 2024, filed with the SEC on May 14, 2024, our Quarterly Report on </w:t>
        </w:r>
        <w:r>
          <w:rPr>
            <w:rFonts w:ascii="Times New Roman" w:cs="Times New Roman" w:eastAsia="Times New Roman" w:hAnsi="Times New Roman"/>
            <w:sz w:val="18"/>
            <w:szCs w:val="18"/>
            <w:u w:val="single" w:color="auto"/>
            <w:color w:val="0000EE"/>
          </w:rPr>
          <w:t>Form</w:t>
        </w:r>
      </w:hyperlink>
      <w:r>
        <w:rPr>
          <w:rFonts w:ascii="Times New Roman" w:cs="Times New Roman" w:eastAsia="Times New Roman" w:hAnsi="Times New Roman"/>
          <w:sz w:val="18"/>
          <w:szCs w:val="18"/>
          <w:color w:val="auto"/>
        </w:rPr>
        <w:t xml:space="preserve"> </w:t>
      </w:r>
      <w:hyperlink r:id="rId34">
        <w:r>
          <w:rPr>
            <w:rFonts w:ascii="Times New Roman" w:cs="Times New Roman" w:eastAsia="Times New Roman" w:hAnsi="Times New Roman"/>
            <w:sz w:val="18"/>
            <w:szCs w:val="18"/>
            <w:u w:val="single" w:color="auto"/>
            <w:color w:val="0000EE"/>
          </w:rPr>
          <w:t>10-Q</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for the quarter ended June 30, 2024, filed with the SEC on August 6, 2024 and our Quarterly Report on</w:t>
        </w:r>
        <w:r>
          <w:rPr>
            <w:rFonts w:ascii="Times New Roman" w:cs="Times New Roman" w:eastAsia="Times New Roman" w:hAnsi="Times New Roman"/>
            <w:sz w:val="18"/>
            <w:szCs w:val="18"/>
            <w:color w:val="0000EE"/>
          </w:rPr>
          <w:t xml:space="preserve"> </w:t>
        </w:r>
      </w:hyperlink>
      <w:hyperlink r:id="rId35">
        <w:r>
          <w:rPr>
            <w:rFonts w:ascii="Times New Roman" w:cs="Times New Roman" w:eastAsia="Times New Roman" w:hAnsi="Times New Roman"/>
            <w:sz w:val="18"/>
            <w:szCs w:val="18"/>
            <w:u w:val="single" w:color="auto"/>
            <w:color w:val="0000EE"/>
          </w:rPr>
          <w:t xml:space="preserve">Form 10-Q </w:t>
        </w:r>
      </w:hyperlink>
      <w:hyperlink r:id="rId34">
        <w:r>
          <w:rPr>
            <w:rFonts w:ascii="Times New Roman" w:cs="Times New Roman" w:eastAsia="Times New Roman" w:hAnsi="Times New Roman"/>
            <w:sz w:val="18"/>
            <w:szCs w:val="18"/>
            <w:color w:val="000000"/>
          </w:rPr>
          <w:t>for the quarter ended</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September 30, 2024, filed with the SEC on November 6, 2024;</w:t>
      </w:r>
    </w:p>
    <w:p>
      <w:pPr>
        <w:spacing w:after="0" w:line="175" w:lineRule="exact"/>
        <w:rPr>
          <w:rFonts w:ascii="Times New Roman" w:cs="Times New Roman" w:eastAsia="Times New Roman" w:hAnsi="Times New Roman"/>
          <w:sz w:val="18"/>
          <w:szCs w:val="18"/>
          <w:color w:val="0000EE"/>
        </w:rPr>
      </w:pPr>
    </w:p>
    <w:p>
      <w:pPr>
        <w:ind w:left="700" w:hanging="328"/>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36">
        <w:r>
          <w:rPr>
            <w:rFonts w:ascii="Times New Roman" w:cs="Times New Roman" w:eastAsia="Times New Roman" w:hAnsi="Times New Roman"/>
            <w:sz w:val="18"/>
            <w:szCs w:val="18"/>
            <w:u w:val="single" w:color="auto"/>
            <w:color w:val="0000EE"/>
          </w:rPr>
          <w:t>February 8, 2024</w:t>
        </w:r>
      </w:hyperlink>
      <w:r>
        <w:rPr>
          <w:rFonts w:ascii="Times New Roman" w:cs="Times New Roman" w:eastAsia="Times New Roman" w:hAnsi="Times New Roman"/>
          <w:sz w:val="18"/>
          <w:szCs w:val="18"/>
          <w:color w:val="auto"/>
        </w:rPr>
        <w:t xml:space="preserve">, </w:t>
      </w:r>
      <w:hyperlink r:id="rId37">
        <w:r>
          <w:rPr>
            <w:rFonts w:ascii="Times New Roman" w:cs="Times New Roman" w:eastAsia="Times New Roman" w:hAnsi="Times New Roman"/>
            <w:sz w:val="18"/>
            <w:szCs w:val="18"/>
            <w:u w:val="single" w:color="auto"/>
            <w:color w:val="0000EE"/>
          </w:rPr>
          <w:t>May 21, 2024</w:t>
        </w:r>
      </w:hyperlink>
      <w:r>
        <w:rPr>
          <w:rFonts w:ascii="Times New Roman" w:cs="Times New Roman" w:eastAsia="Times New Roman" w:hAnsi="Times New Roman"/>
          <w:sz w:val="18"/>
          <w:szCs w:val="18"/>
          <w:color w:val="auto"/>
        </w:rPr>
        <w:t xml:space="preserve">, </w:t>
      </w:r>
      <w:hyperlink r:id="rId38">
        <w:r>
          <w:rPr>
            <w:rFonts w:ascii="Times New Roman" w:cs="Times New Roman" w:eastAsia="Times New Roman" w:hAnsi="Times New Roman"/>
            <w:sz w:val="18"/>
            <w:szCs w:val="18"/>
            <w:u w:val="single" w:color="auto"/>
            <w:color w:val="0000EE"/>
          </w:rPr>
          <w:t>September 30,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39">
        <w:r>
          <w:rPr>
            <w:rFonts w:ascii="Times New Roman" w:cs="Times New Roman" w:eastAsia="Times New Roman" w:hAnsi="Times New Roman"/>
            <w:sz w:val="18"/>
            <w:szCs w:val="18"/>
            <w:u w:val="single" w:color="auto"/>
            <w:color w:val="0000EE"/>
          </w:rPr>
          <w:t>October 7, 2024</w:t>
        </w:r>
      </w:hyperlink>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jc w:val="both"/>
        <w:ind w:left="700" w:hanging="328"/>
        <w:spacing w:after="0" w:line="266" w:lineRule="auto"/>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capital stock contained in our Registration Statement on </w:t>
      </w:r>
      <w:hyperlink r:id="rId40">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001-40710) as originally filed with the SEC on August 4, 2021 and any amendment or report filed for the purpose of updating this information (including </w:t>
      </w:r>
      <w:hyperlink r:id="rId41">
        <w:r>
          <w:rPr>
            <w:rFonts w:ascii="Times New Roman" w:cs="Times New Roman" w:eastAsia="Times New Roman" w:hAnsi="Times New Roman"/>
            <w:sz w:val="18"/>
            <w:szCs w:val="18"/>
            <w:u w:val="single" w:color="auto"/>
            <w:color w:val="0000EE"/>
          </w:rPr>
          <w:t>Exhibit 4.2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our Annual Report on </w:t>
      </w:r>
      <w:hyperlink r:id="rId31">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2023), which description is incorporated herein by reference.</w:t>
      </w:r>
    </w:p>
    <w:p>
      <w:pPr>
        <w:spacing w:after="0" w:line="176" w:lineRule="exact"/>
        <w:rPr>
          <w:rFonts w:ascii="Times New Roman" w:cs="Times New Roman" w:eastAsia="Times New Roman" w:hAnsi="Times New Roman"/>
          <w:sz w:val="18"/>
          <w:szCs w:val="18"/>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80" w:lineRule="exact"/>
        <w:rPr>
          <w:rFonts w:ascii="Times New Roman" w:cs="Times New Roman" w:eastAsia="Times New Roman" w:hAnsi="Times New Roman"/>
          <w:sz w:val="18"/>
          <w:szCs w:val="18"/>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provide each person to whom a prospectus is delivered a copy of all of the information that has been incorporated by reference in this prospectus but not delivered with the prospectus. You may obtain copies of these filings, at no cost, through the “Investors” section of our website (https://www.tigoenergy.com/) and you may request a copy of these filings (other than an exhibit to any filing unless we have specifically incorporated that exhibit by reference into the filing), at no cost, by writing or telephoning us at the following address:</w:t>
      </w:r>
    </w:p>
    <w:p>
      <w:pPr>
        <w:spacing w:after="0" w:line="180"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Tigo Energy, Inc.</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655 Campbell Technology Parkway, Suite 150</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Campbell, California 95008</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Attn: Bill Roeschlein</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(408) 402-0802</w:t>
      </w:r>
    </w:p>
    <w:p>
      <w:pPr>
        <w:spacing w:after="0" w:line="207" w:lineRule="exact"/>
        <w:rPr>
          <w:rFonts w:ascii="Times New Roman" w:cs="Times New Roman" w:eastAsia="Times New Roman" w:hAnsi="Times New Roman"/>
          <w:sz w:val="18"/>
          <w:szCs w:val="18"/>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on, or that can be accessed through, our website is not incorporated into this prospectus or other securities filings and is not a part of these filings.</w:t>
      </w:r>
    </w:p>
    <w:p>
      <w:pPr>
        <w:spacing w:after="0" w:line="158"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FOR SECURITIES ACT LIABILITIES</w:t>
      </w:r>
    </w:p>
    <w:p>
      <w:pPr>
        <w:spacing w:after="0" w:line="229" w:lineRule="exact"/>
        <w:rPr>
          <w:rFonts w:ascii="Times New Roman" w:cs="Times New Roman" w:eastAsia="Times New Roman" w:hAnsi="Times New Roman"/>
          <w:sz w:val="18"/>
          <w:szCs w:val="18"/>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392"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156845</wp:posOffset>
            </wp:positionV>
            <wp:extent cx="1054100" cy="4540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105410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$100,000,000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Rights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relates to the offer and sale by Tigo Energy, Inc., a Delaware corporation (the “Company,” “we,” “us” or “Tigo”) from time to time in one or more offerings of up to $100,000,000 in the aggregate of the Company’s common stock, par value $ 0.0001 per share (the “Common Stock”), preferred stock, debt securities, warrants, rights or units.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such securities and the general manner in which we may offer or sell the securities. More specific terms of any securities that we may offer or sell may be provided in a prospectus supplement that describes, among other things, the specific amounts and prices of the securities being offered and the terms of the offering. The prospectus supplement may also add, update or change information contained in this prospectus.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 You should read this prospectus and any prospectus supplement or amendment carefully before you invest in our securities.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shares of Common Stock are listed on the Nasdaq Stock Market (“Nasdaq”) under the symbol “TYGO.” On September 6, 2024, the closing sale price of shares of our Common Stock was $1.115.</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September 3, 2024, the aggregate market value of our outstanding common stock held by non-affiliates was approximately $43,796,536, which was calculated based on 25,170,423 shares of outstanding common stock held by non-affiliates, at a price per share of $1.74, the closing price of our Common Stock on July 29, 2024, the highest closing price of the Company’s Common Stock on Nasdaq during the preceding 60 day trading period. Pursuant to General Instruction I.B.6 of Form S-3, in no event will we sell the securities described in this prospectus in a public primary offering with a value exceeding more than one-third (1/3) of the aggregate market value of our common stock held by non-affiliates in any 12-month period, so long as the aggregate market value of our outstanding Common Stock held by non-affiliates remains below $75,000,000. During the 12 calendar months prior to and including the date of this prospectus, we have offered a total of $73,078 worth of securities pursuant to General Instruction I.B.6 of Form S-3.</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risks that are described in the “Risk Factors” section beginning on page 2 of this prospectus and similar sections contained in the documents incorporated by reference into this prospectus.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September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620" w:type="dxa"/>
            <w:vAlign w:val="bottom"/>
          </w:tcPr>
          <w:p>
            <w:pPr>
              <w:spacing w:after="0"/>
              <w:rPr>
                <w:sz w:val="20"/>
                <w:szCs w:val="20"/>
                <w:color w:val="auto"/>
              </w:rPr>
            </w:pPr>
          </w:p>
        </w:tc>
      </w:tr>
      <w:tr>
        <w:trPr>
          <w:trHeight w:val="216"/>
        </w:trPr>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6380" w:type="dxa"/>
            <w:vAlign w:val="bottom"/>
            <w:tcBorders>
              <w:bottom w:val="single" w:sz="8" w:color="CCEEFF"/>
            </w:tcBorders>
            <w:gridSpan w:val="8"/>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ind w:left="2080"/>
              <w:spacing w:after="0" w:line="176" w:lineRule="exact"/>
              <w:rPr>
                <w:sz w:val="20"/>
                <w:szCs w:val="20"/>
                <w:color w:val="auto"/>
              </w:rPr>
            </w:pPr>
            <w:r>
              <w:rPr>
                <w:rFonts w:ascii="Times New Roman" w:cs="Times New Roman" w:eastAsia="Times New Roman" w:hAnsi="Times New Roman"/>
                <w:sz w:val="18"/>
                <w:szCs w:val="18"/>
                <w:color w:val="auto"/>
              </w:rPr>
              <w:t>ii</w:t>
            </w:r>
          </w:p>
        </w:tc>
      </w:tr>
      <w:tr>
        <w:trPr>
          <w:trHeight w:val="175"/>
        </w:trPr>
        <w:tc>
          <w:tcPr>
            <w:tcW w:w="862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TRADEMARKS</w:t>
            </w:r>
          </w:p>
        </w:tc>
        <w:tc>
          <w:tcPr>
            <w:tcW w:w="2620" w:type="dxa"/>
            <w:vAlign w:val="bottom"/>
          </w:tcPr>
          <w:p>
            <w:pPr>
              <w:ind w:left="2060"/>
              <w:spacing w:after="0" w:line="176" w:lineRule="exact"/>
              <w:rPr>
                <w:sz w:val="20"/>
                <w:szCs w:val="20"/>
                <w:color w:val="auto"/>
              </w:rPr>
            </w:pPr>
            <w:r>
              <w:rPr>
                <w:rFonts w:ascii="Times New Roman" w:cs="Times New Roman" w:eastAsia="Times New Roman" w:hAnsi="Times New Roman"/>
                <w:sz w:val="18"/>
                <w:szCs w:val="18"/>
                <w:color w:val="auto"/>
              </w:rPr>
              <w:t>iv</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862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2620" w:type="dxa"/>
            <w:vAlign w:val="bottom"/>
            <w:shd w:val="clear" w:color="auto" w:fill="CCEEFF"/>
          </w:tcPr>
          <w:p>
            <w:pPr>
              <w:ind w:left="2080"/>
              <w:spacing w:after="0" w:line="176" w:lineRule="exact"/>
              <w:rPr>
                <w:sz w:val="20"/>
                <w:szCs w:val="20"/>
                <w:color w:val="auto"/>
              </w:rPr>
            </w:pPr>
            <w:r>
              <w:rPr>
                <w:rFonts w:ascii="Times New Roman" w:cs="Times New Roman" w:eastAsia="Times New Roman" w:hAnsi="Times New Roman"/>
                <w:sz w:val="18"/>
                <w:szCs w:val="18"/>
                <w:color w:val="auto"/>
              </w:rPr>
              <w:t>v</w:t>
            </w:r>
          </w:p>
        </w:tc>
      </w:tr>
      <w:tr>
        <w:trPr>
          <w:trHeight w:val="176"/>
        </w:trPr>
        <w:tc>
          <w:tcPr>
            <w:tcW w:w="6340" w:type="dxa"/>
            <w:vAlign w:val="bottom"/>
            <w:tcBorders>
              <w:top w:val="single" w:sz="8" w:color="0000EE"/>
            </w:tcBorders>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SUMMARY OF PROSPECTUS</w:t>
            </w:r>
          </w:p>
        </w:tc>
        <w:tc>
          <w:tcPr>
            <w:tcW w:w="2280" w:type="dxa"/>
            <w:vAlign w:val="bottom"/>
            <w:tcBorders>
              <w:top w:val="single" w:sz="8" w:color="CCEEFF"/>
            </w:tcBorders>
          </w:tcPr>
          <w:p>
            <w:pPr>
              <w:spacing w:after="0"/>
              <w:rPr>
                <w:sz w:val="15"/>
                <w:szCs w:val="15"/>
                <w:color w:val="auto"/>
              </w:rPr>
            </w:pPr>
          </w:p>
        </w:tc>
        <w:tc>
          <w:tcPr>
            <w:tcW w:w="2620" w:type="dxa"/>
            <w:vAlign w:val="bottom"/>
            <w:tcBorders>
              <w:top w:val="single" w:sz="8" w:color="CCEEFF"/>
            </w:tcBorders>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7360" w:type="dxa"/>
            <w:vAlign w:val="bottom"/>
            <w:tcBorders>
              <w:bottom w:val="single" w:sz="8" w:color="CCEEFF"/>
            </w:tcBorders>
            <w:gridSpan w:val="15"/>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176"/>
        </w:trPr>
        <w:tc>
          <w:tcPr>
            <w:tcW w:w="862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2620" w:type="dxa"/>
            <w:vAlign w:val="bottom"/>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510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COMMON STOCK AND PREFERRED STOCK</w:t>
            </w:r>
          </w:p>
        </w:tc>
        <w:tc>
          <w:tcPr>
            <w:tcW w:w="3520" w:type="dxa"/>
            <w:vAlign w:val="bottom"/>
            <w:tcBorders>
              <w:bottom w:val="single" w:sz="8" w:color="CCEEFF"/>
            </w:tcBorders>
            <w:gridSpan w:val="2"/>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175"/>
        </w:trPr>
        <w:tc>
          <w:tcPr>
            <w:tcW w:w="862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DESCRIPTION OF DEBT SECURITIES</w:t>
            </w:r>
          </w:p>
        </w:tc>
        <w:tc>
          <w:tcPr>
            <w:tcW w:w="2620" w:type="dxa"/>
            <w:vAlign w:val="bottom"/>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862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WARRANTS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176"/>
        </w:trPr>
        <w:tc>
          <w:tcPr>
            <w:tcW w:w="2480" w:type="dxa"/>
            <w:vAlign w:val="bottom"/>
            <w:tcBorders>
              <w:top w:val="single" w:sz="8" w:color="0000EE"/>
            </w:tcBorders>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DESCRIPTION OF RIGHTS</w:t>
            </w:r>
          </w:p>
        </w:tc>
        <w:tc>
          <w:tcPr>
            <w:tcW w:w="6140" w:type="dxa"/>
            <w:vAlign w:val="bottom"/>
            <w:tcBorders>
              <w:top w:val="single" w:sz="8" w:color="CCEEFF"/>
            </w:tcBorders>
            <w:gridSpan w:val="6"/>
          </w:tcPr>
          <w:p>
            <w:pPr>
              <w:spacing w:after="0"/>
              <w:rPr>
                <w:sz w:val="15"/>
                <w:szCs w:val="15"/>
                <w:color w:val="auto"/>
              </w:rPr>
            </w:pPr>
          </w:p>
        </w:tc>
        <w:tc>
          <w:tcPr>
            <w:tcW w:w="2620" w:type="dxa"/>
            <w:vAlign w:val="bottom"/>
            <w:tcBorders>
              <w:top w:val="single" w:sz="8" w:color="CCEEFF"/>
            </w:tcBorders>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862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15</w:t>
            </w:r>
          </w:p>
        </w:tc>
      </w:tr>
      <w:tr>
        <w:trPr>
          <w:trHeight w:val="176"/>
        </w:trPr>
        <w:tc>
          <w:tcPr>
            <w:tcW w:w="202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GLOBAL SECURITIES</w:t>
            </w:r>
          </w:p>
        </w:tc>
        <w:tc>
          <w:tcPr>
            <w:tcW w:w="6600" w:type="dxa"/>
            <w:vAlign w:val="bottom"/>
            <w:tcBorders>
              <w:top w:val="single" w:sz="8" w:color="CCEEFF"/>
            </w:tcBorders>
            <w:gridSpan w:val="11"/>
          </w:tcPr>
          <w:p>
            <w:pPr>
              <w:spacing w:after="0"/>
              <w:rPr>
                <w:sz w:val="15"/>
                <w:szCs w:val="15"/>
                <w:color w:val="auto"/>
              </w:rPr>
            </w:pPr>
          </w:p>
        </w:tc>
        <w:tc>
          <w:tcPr>
            <w:tcW w:w="2620" w:type="dxa"/>
            <w:vAlign w:val="bottom"/>
            <w:tcBorders>
              <w:top w:val="single" w:sz="8" w:color="CCEEFF"/>
            </w:tcBorders>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6560" w:type="dxa"/>
            <w:vAlign w:val="bottom"/>
            <w:tcBorders>
              <w:bottom w:val="single" w:sz="8" w:color="CCEEFF"/>
            </w:tcBorders>
            <w:gridSpan w:val="10"/>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175"/>
        </w:trPr>
        <w:tc>
          <w:tcPr>
            <w:tcW w:w="862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2620" w:type="dxa"/>
            <w:vAlign w:val="bottom"/>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7840" w:type="dxa"/>
            <w:vAlign w:val="bottom"/>
            <w:tcBorders>
              <w:bottom w:val="single" w:sz="8" w:color="CCEEFF"/>
            </w:tcBorders>
            <w:gridSpan w:val="17"/>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176"/>
        </w:trPr>
        <w:tc>
          <w:tcPr>
            <w:tcW w:w="862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620" w:type="dxa"/>
            <w:vAlign w:val="bottom"/>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6"/>
        </w:trPr>
        <w:tc>
          <w:tcPr>
            <w:tcW w:w="862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INDEMNIFICATION FOR SECURITIES ACT LIABILITIES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No one has been authorized to provide you with information that is different from that contained in this prospectus. This prospectus is dated as of the date set forth on the cover hereof. You should not assume that the information contained in this prospectus is accurate as of any date other than that date.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Securities and Exchange Commission (the “SEC”) using a “shelf” registration process. By using a shelf registration statement, we may sell securities from time to time and in one or more offerings up to a total dollar amount of $100,000,000 as described in this prospectus.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Any statement contained in this prospectus will be deemed to be modified or superseded for purposes of this prospectus to the extent that a statement contained in such prospectus supplement or free writing prospectus modifies or supersedes such statement. Any statement so modified will be deemed to constitute a part of this prospectus only as so modified, and any statement so superseded will be deemed not to constitute a part of this prospectus. If there is any inconsistency between the information in this prospectus and the applicable prospectus supplement or free writing prospectus, you should rely on the prospectus supplement or free writing prospectus, as applicable. You should rely only on the information contained in this prospectus, any applicable prospectus supplement or any related free writing prospectus. See “Where You Can Find More Information.”</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not authorized anyone to provide any information or to make any representations other than those contained in this prospectus, any accompanying prospectus supplement or any free writing prospectus we have prepared. We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Before making an investment decision, you should read, in addition to this prospectus and the registration statement, any documents that we incorporate by reference in this prospectus, as referred to under “Where You Can Find More Information,” and you may obtain copies of those documents as described below.</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used in this prospectus, unless otherwise indicated or the context otherwise requires, references to “we,” “us,” “our,” the “Company,” “Registrant,” and “Tigo” refer to the consolidated operations of Tigo Energy, Inc. (formerly known as Roth CH Acquisition IV Co.) and its subsidiaries. References to “ROCG” refer to the Company prior to the consummation of the Business Combination (as defined below) and references to “Legacy Tigo” refer to Tigo Energy, Inc. prior to the consummation of the Business Combination.</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0" w:name="page21"/>
    <w:bookmarkEnd w:id="20"/>
    <w:p>
      <w:pPr>
        <w:jc w:val="both"/>
        <w:spacing w:after="0" w:line="266" w:lineRule="auto"/>
        <w:rPr>
          <w:sz w:val="20"/>
          <w:szCs w:val="20"/>
          <w:color w:val="auto"/>
        </w:rPr>
      </w:pPr>
      <w:r>
        <w:rPr>
          <w:rFonts w:ascii="Times New Roman" w:cs="Times New Roman" w:eastAsia="Times New Roman" w:hAnsi="Times New Roman"/>
          <w:sz w:val="18"/>
          <w:szCs w:val="18"/>
          <w:color w:val="auto"/>
        </w:rPr>
        <w:t>ROCG was originally formed as a Delaware corporation in February of 2019 for the purpose of effecting a merger, share exchange, asset acquisition, share purchase, recapitalization, reorganization, or other similar business combination with one or more businesses. On August 10, 2021, ROCG consummated its initial public offering, following which its securities began trading on the Nasdaq Capital Market.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5, 2022, ROCG, Roth IV Merger Sub Inc., a Delaware corporation and a wholly-owned subsidiary of ROCG (“Merger Sub”), and Legacy Tigo, entered into an Agreement and Plan of Merger, as amended on April 6, 2023 (the “Merger Agreement”), pursuant to which, among other transactions, on May 23, 2023 (the “Closing Date”), Merger Sub merged with and into Legacy Tigo (the “Merger”), with Legacy Tigo surviving the Merger as a wholly-owned subsidiary of ROCG (the Merger, together with the other transactions described in the Merger Agreement, the “Business Combination”). In connection with the closing of the Business Combination, ROCG changed its name to “Tigo Energy, Inc.”</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and our subsidiaries own or have rights to trademarks, trade names and service marks that they use in connection with the operation of their business. In addition, their names, logos and website names and addresses are their trademarks or service marks. Other trademarks, trade names and service marks appearing in this prospectus, are the property of their respective owners. Solely for convenience, in some cases, the trademarks, trade names and service</w:t>
      </w:r>
    </w:p>
    <w:p>
      <w:pPr>
        <w:spacing w:after="0" w:line="1" w:lineRule="exact"/>
        <w:rPr>
          <w:sz w:val="20"/>
          <w:szCs w:val="20"/>
          <w:color w:val="auto"/>
        </w:rPr>
      </w:pP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 xml:space="preserve">marks referred to in this prospectus are listed without the applicable </w:t>
      </w:r>
      <w:r>
        <w:rPr>
          <w:rFonts w:ascii="Times New Roman" w:cs="Times New Roman" w:eastAsia="Times New Roman" w:hAnsi="Times New Roman"/>
          <w:sz w:val="29"/>
          <w:szCs w:val="29"/>
          <w:color w:val="auto"/>
          <w:vertAlign w:val="superscript"/>
        </w:rPr>
        <w:t>®, 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xml:space="preserve"> symbols, but their respective owners will assert, to the fullest extent under applicable law, their rights to these trademarks, trade names and service marks.</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including the documents incorporated herein by reference, contains statements that are “forward-looking looking statements” within the meaning of the Private Securities Litigation Reform Act of 1995. These forward-looking statements include, without limitation, statements regarding the financial position, business strategy and the plans and objectives of management for future operations. These statements constitute projections, forecasts and forward-looking statements, and are not guarantees of performance. Such statements can be identified by the fact that they do not relate strictly to historical or current facts. When used in this prospectus and/or the documents incorporated herein by reference, words such as “anticipate,” “believe,” “continue,” “could,” “estimate,” “expect,” “intend,” “may,” “might,” “plan,” “possible,” “potential,” “predict,” “project,” “should,” “strive,” “would” and similar expressions may identify forward-looking statements, but the absence of these words does not mean that a statement is not forward-looking. When the Company discusses its strategies or plans, the Company is making projections, forecasts or forward-looking statements. Such statements are based on the beliefs of, as well as assumptions made by and information currently available to, the Company’s management.</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not place undue reliance on these forward-looking statements. The forward-looking statements contained in this prospectus are only predictions based on the Company’s current expectations and projections about future events and are subject to a number of risks, uncertainties and assumptions that may cause actual results or performance to be materially different from those expressed or implied by these forward-looking statements. These risks include, but are not limited to, those described in our filings made with the SEC from time to time incorporated by reference herein.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It is not possible for the management of the Company to predict all risks, nor can the Company assess the impact of all factors on the Company’s business or the extent to which any factor, or combination of factors, may cause actual results to differ materially from those contained in any forward-looking statements the Company may make. In light of these risks, uncertainties and assumptions, the forward-looking events and circumstances discussed in this prospectus may not occur, and actual results could differ materially and adversely from those anticipated or implied in the forward-looking statements in this prospectus.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forward-looking statements included in this prospectus are made only as of the date hereof. You should not rely upon forward-looking statements as predictions of future events. Although the Company believes that the expectations reflected in its forward-looking statements are reasonable, the Company cannot guarantee that the future results, levels of activity, performance or events and circumstances reflected in the forward-looking statements will be achieved or occur. The Company does not undertake any obligation to update publicly any forward-looking statements for any reason after the date of this prospectus to conform these statements to actual results or to changes in expectations, except as required by law. You should read this prospectus and the documents that have been filed as exhibits hereto with the understanding that the actual future results, levels of activity, performance, events and circumstances of the Company may be materially different from what is expected.</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382270</wp:posOffset>
            </wp:positionV>
            <wp:extent cx="7145020" cy="5516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7145020" cy="5516245"/>
                    </a:xfrm>
                    <a:prstGeom prst="rect">
                      <a:avLst/>
                    </a:prstGeom>
                    <a:noFill/>
                  </pic:spPr>
                </pic:pic>
              </a:graphicData>
            </a:graphic>
          </wp:anchor>
        </w:drawing>
        <w:t>SUMMARY OF THE PROSPECTUS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summary highlights selected information appearing elsewhere in this prospectus or the documents incorporated by reference herein. Because it is a summary, it may not contain all of the information that may be important to you in making an investment decision. Before investing in our securities, you should carefully read this entire prospectus, the registration statement of which this prospectus is a part and the documents incorporated by reference herein carefully, including the information set forth under the heading “Risk Factors” and our financial statements. See the section of this prospectus titled “Where You Can Find More Information.”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mission is to deliver smart system solutions, combining hardware and software, which enhance safety, increase energy yield, and lower operating costs of residential, commercial, and utility-scale solar systems. We believe we are a worldwide leader in the development and delivery of products and solutions that are flexible and dependable, increasing the energy generation of solar energy systems.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served the solar energy industry with advanced power electronics, including the manufacturing and development of our Module Level Power Electronics (“MLPEs”), since our inception in 2007. Until 2021, we primarily focused on our MLPEs, which are devices that reside under the solar panel and improve safety features and energy production for the installer and system owner. Our MLPEs are designed to be highly flexible solutions that work with other inverters and modules, providing the installer with an open system solution and a variety of choices when designing a system for the consumer.</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the solar optimizer and inverter space has been historically served by two major suppliers, we expect to attract new customers and gain market share by expanding sales of our MLPEs, which provide solar panel power optimization and rapid shutdown, our GO Energy Storage Systems (“GO ESS”), (formerly referred to as the Tigo EI Solution), which provides solar energy storage management capabilities, and our Energy Intelligence (“EI”) platform which provides monitoring and energy demand forecasting capabilities. We began to offer our GO ESS to residential customers in the United States (“U.S.”) and Europe in late 2021 and 2022, respectively, and added our energy demand forecasting software capabilities through our acquisition of Foresight Energy, Ltd. in the first quarter of 2023. Our products power everything from single-digit kilowatt residential systems to commercial, industrial, and utility systems, scaling to hundreds of megawatts on rooftop, ground-mounted, and floating applications.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were incorporated in Delaware on February 13, 2019, under the name Roth CH Acquisition IV Co., in order to effectuate a merger, capital stock exchange, asset acquisition, stock purchase, reorganization or similar business combination with one or more businesses. ROCG completed its initial public offering on August 10, 2021. On May 23, 2023, ROCG and Legacy Tigo consummated the transactions contemplated by the Merger Agreement. On the Closing Date, ROCG changed its name to Tigo Energy, Inc.</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mailing address of our principal executive office is 655 Campbell Technology Parkway, Suite 150, Campbell, California 95008, and our telephone number is (408) 402-0802. Our website is https://www.tigoenergy.com/. Information contained on our website is not a part of this prospectus, and the inclusion of our website address in this prospectus is an inactive textual reference only.</w:t>
      </w: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819" w:right="4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 investment in any securities offered pursuant to this prospectus and the applicable prospectus supplement involves risks. Before deciding whether to invest in our securities, you should carefully consider the risk factors incorporated by reference to our most recent Annual Report on Form 10-K, any subsequent Quarterly Reports on Form 10-Q or Current Reports on Form 8-K and all other information contained or incorporated by reference into this prospectus, as updated by our subsequent filings under the Exchange Act, and the risk factors and other information contained in any applicable prospectus supplement. For more information, see “Where You Can Find More Information.”</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otherwise may be described in an applicable prospectus supplement, we intend to use the net proceeds from the sale of the securities offered by us hereunder for general corporate purposes. We may also use such proceeds for temporary investments until we need them for general corporate purposes.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COMMON STOCK AND PREFERRED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description of our Common Stock and preferred stock is set forth in our registration statement on Form 8-A as originally filed with the SEC on August 4, 2021 and any amendment or report filed for the purpose of updating this information (including Exhibit 4.2 to our Annual Report on Form 10-K for the fiscal year ended December 31, 2023), which description is incorporated herein by reference.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issue debt securities either separately, or together with, or upon the conversion or exercise of or in exchange for, other securities described in this prospectus. Unless otherwise specified in a supplement to this prospectus, the debt securities will be our direct, unsecured obligations and may be issued in one or more series.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debt securities will be issued under an indenture between us and a trustee named in a prospectus supplement.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w:t>
      </w:r>
    </w:p>
    <w:p>
      <w:pPr>
        <w:spacing w:after="0" w:line="176"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ranking of the debt securities (including the terms of any subordination provisions);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(expressed as a percentage of the principal amount) at which we will sell the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 of the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we may redeem the debt securities;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8" w:name="page29"/>
    <w:bookmarkEnd w:id="28"/>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issued, if other than denominations of $1,000 and any integral multiple thereof;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the form of certificated debt securities or global debt securities;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of the debt securities payable upon declaration of acceleration of the maturity date, if other than the principal amount;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 of the debt securities, which may be U.S. Dollars or any foreign currency, and if such currency of denomination is a composite currency, the agency or organization, if any, responsible for overseeing such composite currency;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of, premium and interest on the debt securities will be made;</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161"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covenants described in this prospectus or in the indenture with respect to the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with respect to the debt securities;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of our direct or indirect subsidiaries will guarantee the debt securities of that series including the terms of subordination, if any, of such guarantees.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9" w:name="page30"/>
    <w:bookmarkEnd w:id="29"/>
    <w:p>
      <w:pPr>
        <w:jc w:val="both"/>
        <w:spacing w:after="0" w:line="261" w:lineRule="auto"/>
        <w:rPr>
          <w:sz w:val="20"/>
          <w:szCs w:val="20"/>
          <w:color w:val="auto"/>
        </w:rPr>
      </w:pPr>
      <w:r>
        <w:rPr>
          <w:rFonts w:ascii="Times New Roman" w:cs="Times New Roman" w:eastAsia="Times New Roman" w:hAnsi="Times New Roman"/>
          <w:sz w:val="18"/>
          <w:szCs w:val="18"/>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Transfer and Exchange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debt security will be represented by either one or more global securities registered in the name of The Depository Trust Company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Global Debt Securities and Book-Entry System</w:t>
      </w:r>
      <w:r>
        <w:rPr>
          <w:rFonts w:ascii="Times New Roman" w:cs="Times New Roman" w:eastAsia="Times New Roman" w:hAnsi="Times New Roman"/>
          <w:sz w:val="18"/>
          <w:szCs w:val="18"/>
          <w:color w:val="auto"/>
        </w:rPr>
        <w:t>. Each global debt security representing book-entry debt securities will be deposited with, or on behalf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Depositary, and registered in the name of the Depositary or a nominee of the Depositary. Unless and until it is exchanged for individual certificates evidencing securities under the limited circumstances described in the indenture, a global debt security may not be transferred except as a whole by the depositary to its nominee or by the nominee to the depositary, or by the depositary or its nominee to a successor depositary or to a nominee of the successor depositary.</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Depositary holds securities that its participants deposit with Depositary. Depositary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Depositary include securities brokers and dealers, including underwriters, banks, trust companies, clearing corporations and other organizations. Access to the Depositary system is also available to others (which we sometimes refer to as indirect participants) that clear through or maintain a custodial relationship with a direct participant, either directly or indirectly. The rules applicable to Depositary and its participants are on file with the SEC.</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 long as the debt securities are in book-entry form, you will receive payments and may transfer debt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debt securities may be surrendered for payment, registration of transfer or exchange. We will make payments on book-entry debt securities to the Depositary or its nominee, as the registered owner of such securities, by wire transfer of immediately available funds.</w:t>
      </w:r>
    </w:p>
    <w:p>
      <w:pPr>
        <w:spacing w:after="0" w:line="18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Certificated Debt Securities</w:t>
      </w:r>
      <w:r>
        <w:rPr>
          <w:rFonts w:ascii="Times New Roman" w:cs="Times New Roman" w:eastAsia="Times New Roman" w:hAnsi="Times New Roman"/>
          <w:sz w:val="18"/>
          <w:szCs w:val="18"/>
          <w:color w:val="auto"/>
        </w:rPr>
        <w:t>. You may transfer or exchange certificated debt securities at any office we maintain for this purpose in accordance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of the indenture. No service charge will be made for any transfer or exchange of certificated debt securities, but we may require payment of a sum sufficient to cover any tax or other governmental charge payable in connection with a transfer or exchange.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0" w:name="page31"/>
    <w:bookmarkEnd w:id="30"/>
    <w:p>
      <w:pPr>
        <w:jc w:val="both"/>
        <w:spacing w:after="0" w:line="261" w:lineRule="auto"/>
        <w:rPr>
          <w:sz w:val="20"/>
          <w:szCs w:val="20"/>
          <w:color w:val="auto"/>
        </w:rPr>
      </w:pPr>
      <w:r>
        <w:rPr>
          <w:rFonts w:ascii="Times New Roman" w:cs="Times New Roman" w:eastAsia="Times New Roman" w:hAnsi="Times New Roman"/>
          <w:sz w:val="18"/>
          <w:szCs w:val="18"/>
          <w:color w:val="auto"/>
        </w:rPr>
        <w:t>If the debt securities are issued in definitive certificated form under the limited circumstances described in the indenture,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set forth in the applicable prospectus supplement any restrictive covenants applicable to any issue of debt securities, including the payment of principal, premium, if any, and interest on such debt securities. The indenture will not limit us from incurring or issuing other unsecured or secured debt and, unless otherwise indicated in the applicable prospectus supplement, the indenture will not contain any financial covenants.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Protection in the Event of a Change of Control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set forth in the applicable prospectus supplement or free writing prospectus the terms on which a series of debt securities may be convertible into or exchangeable for our common stock, our preferred stock or other securities (including securities of a third-party). We will include provisions as to whether conversion or exchange is mandatory, at the option of the holder or at our option. We may include provisions pursuant to which the number of shares of our common stock, our preferred stock or other securities (including securities of a third-party) that the holders of the series of debt securities receive would be subject to adjustment.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not consolidate with or merge with or into, or convey, transfer or lease all or substantially all of our properties and assets to any person (a “successor person”) unless:</w:t>
      </w:r>
    </w:p>
    <w:p>
      <w:pPr>
        <w:spacing w:after="0" w:line="162" w:lineRule="exact"/>
        <w:rPr>
          <w:sz w:val="20"/>
          <w:szCs w:val="20"/>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corporation or the successor person (if other than Tigo) is a corporation, organized and validly existing under the laws of any U.S. domestic jurisdiction and expressly assumes our obligations on the debt securities and under the indenture; and</w:t>
      </w:r>
    </w:p>
    <w:p>
      <w:pPr>
        <w:spacing w:after="0" w:line="161" w:lineRule="exact"/>
        <w:rPr>
          <w:rFonts w:ascii="Times New Roman" w:cs="Times New Roman" w:eastAsia="Times New Roman" w:hAnsi="Times New Roman"/>
          <w:sz w:val="18"/>
          <w:szCs w:val="18"/>
          <w:color w:val="auto"/>
        </w:rPr>
      </w:pPr>
    </w:p>
    <w:p>
      <w:pPr>
        <w:ind w:right="560" w:firstLine="332"/>
        <w:spacing w:after="0" w:line="498" w:lineRule="auto"/>
        <w:tabs>
          <w:tab w:leader="none" w:pos="64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(as defined below) or Event of Default shall have occurred and be continuing. Notwithstanding the above, any of our subsidiaries may consolidate with, merge into or transfer all or part of its properties to 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 of Default” means with respect to any series of debt securities, any of the following:</w:t>
      </w:r>
    </w:p>
    <w:p>
      <w:pPr>
        <w:spacing w:after="0" w:line="225" w:lineRule="exact"/>
        <w:rPr>
          <w:sz w:val="20"/>
          <w:szCs w:val="20"/>
          <w:color w:val="auto"/>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security of that series at its maturity;</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1" w:name="page32"/>
    <w:bookmarkEnd w:id="31"/>
    <w:p>
      <w:pPr>
        <w:jc w:val="both"/>
        <w:ind w:left="660" w:hanging="328"/>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Tigo and the trustee receives written notice from the holders of not less than 25% in principal amount of the outstanding debt securities of that series as provided in the indenture;</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voluntary or involuntary events of bankruptcy, insolvency or reorganization of Tigo;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debt securities of that series that is described in the applicable prospectus supplement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Default</w:t>
      </w:r>
      <w:r>
        <w:rPr>
          <w:rFonts w:ascii="Times New Roman" w:cs="Times New Roman" w:eastAsia="Times New Roman" w:hAnsi="Times New Roman"/>
          <w:sz w:val="18"/>
          <w:szCs w:val="18"/>
          <w:color w:val="auto"/>
        </w:rPr>
        <w:t>” means any event which is, or after notice or passage of time or both would be, an Event of Default.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indenture will provide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162"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 has previously given to the trustee written notice of a continuing Event of Default with respect to debt securities of that series;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2" w:name="page33"/>
    <w:bookmarkEnd w:id="32"/>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indenture will require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mail to each holder of the securities of that series notice of a Default or Event of Default within 90 days after it occurs or, if later, after a responsible officer of the trustee has knowledge of such Default or Event of Default. The indenture will provide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and the trustee may modify, amend or supplement the indenture or the debt securities of any series without the consent of any holder of any debt security:</w:t>
      </w:r>
    </w:p>
    <w:p>
      <w:pPr>
        <w:spacing w:after="0" w:line="162"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covenants in the indenture described above under the heading “Consolidation, Merger and Sale of Assets”;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debt securities of any series or secure debt securities of any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surrender any of our rights or powers under the indenture;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or events of default for the benefit of the holders of debt securities of any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applicable procedures of the applicable depositary;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of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debt securities of any series as permitted by the indenture;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3" w:name="page34"/>
    <w:bookmarkEnd w:id="33"/>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 of 1939, as amended.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also modify and amend the indenture with the consent of the holders of a majority in principal amount of the outstanding debt securities of each series affected by the modifications or amendments (with the securities of each series voting as a class). We may not make any modification or amendment without the consent of the holders of each affected debt security then outstanding if that amendment will:</w:t>
      </w:r>
    </w:p>
    <w:p>
      <w:pPr>
        <w:spacing w:after="0" w:line="176"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supplement or waiver;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default interest) on any debt security;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discount securities payable upon acceleration of maturity;</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in the payment of the principal of, premium or interest on any debt security (except a rescission of acceleration of the debt securities of any series by the holders of a majority in aggregate principal amount of the then outstanding debt securities of that series and a waiver of the payment default that resulted from such acceleration);</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principal of or premium or interest on any debt security payable in currency other than that stated in the debt security;</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debt security.</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Except for certain specified provisions, the holders of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 of Debt Securities and Certain Covenants in Certain Circumstances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Legal Defeasance</w:t>
      </w:r>
      <w:r>
        <w:rPr>
          <w:rFonts w:ascii="Times New Roman" w:cs="Times New Roman" w:eastAsia="Times New Roman" w:hAnsi="Times New Roman"/>
          <w:sz w:val="18"/>
          <w:szCs w:val="18"/>
          <w:color w:val="auto"/>
        </w:rPr>
        <w:t>. The indenture will provide that, unless otherwise provided by the terms of the applicable series of debt securities, we may be discharged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any and all obligations in respect of the debt securities of any series (subject to certain exceptions)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4" w:name="page35"/>
    <w:bookmarkEnd w:id="34"/>
    <w:p>
      <w:pPr>
        <w:jc w:val="both"/>
        <w:spacing w:after="0" w:line="256" w:lineRule="auto"/>
        <w:rPr>
          <w:sz w:val="20"/>
          <w:szCs w:val="20"/>
          <w:color w:val="auto"/>
        </w:rPr>
      </w:pPr>
      <w:r>
        <w:rPr>
          <w:rFonts w:ascii="Times New Roman" w:cs="Times New Roman" w:eastAsia="Times New Roman" w:hAnsi="Times New Roman"/>
          <w:sz w:val="18"/>
          <w:szCs w:val="18"/>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Defeasance of Certain Covenants</w:t>
      </w:r>
      <w:r>
        <w:rPr>
          <w:rFonts w:ascii="Times New Roman" w:cs="Times New Roman" w:eastAsia="Times New Roman" w:hAnsi="Times New Roman"/>
          <w:sz w:val="18"/>
          <w:szCs w:val="18"/>
          <w:color w:val="auto"/>
        </w:rPr>
        <w:t>. The indenture will provide that, unless otherwise provided by the terms of the applicable series of debt securities,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with certain conditions:</w:t>
      </w:r>
    </w:p>
    <w:p>
      <w:pPr>
        <w:spacing w:after="0" w:line="160" w:lineRule="exact"/>
        <w:rPr>
          <w:sz w:val="20"/>
          <w:szCs w:val="20"/>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omission to comply with those covenants will not constitute a Default or an Event of Default with respect to the debt securities of that series (“covenant defeasance”).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conditions include:</w:t>
      </w:r>
    </w:p>
    <w:p>
      <w:pPr>
        <w:spacing w:after="0" w:line="225" w:lineRule="exact"/>
        <w:rPr>
          <w:sz w:val="20"/>
          <w:szCs w:val="20"/>
          <w:color w:val="auto"/>
        </w:rPr>
      </w:pPr>
    </w:p>
    <w:p>
      <w:pPr>
        <w:jc w:val="both"/>
        <w:ind w:left="660" w:hanging="328"/>
        <w:spacing w:after="0" w:line="25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trustee an opinion of counsel to the effect that the holders of the debt securities of that series will not recognize income, gain or loss for United States federal income tax purposes as a result of such covenant defeasance and will be subject to United States federal income tax on the same amounts and in the same manner and at the same times as would have been the case if such covenant defeasance had not occurred.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covenant defeasance occurs, certain events (not including non-payment, bankruptcy, receivership, rehabilitation and insolvency events) described under “Events of Default” will no longer constitute an Event of Default with respect to the applicable series of debt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or Securityholders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including any claim or controversy arising out of or relating to the indenture or the securities, will be governed by the laws of the State of New York.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elect to offer warrants from time to time in one or more series. The following description summarizes the general terms and provisions of the warrants we may offer pursuant to this prospectus that are common to all series.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specific terms relating to any series of our warrants that we offer will be described in a prospectus supplement, which you should read. Because the terms of specific series of warrants offered may differ from the general information that we have provided below, you should rely on information in the applicable prospectus supplement that contradicts any information below. The summary below is not complete and is subject to, and qualified in its entirety by reference to, the terms and provisions of the applicable warrant agreement relating to each series of warrants, which will be in the form filed as an exhibit to or incorporated by reference in the registration statement of which this prospectus is a part at or prior to the time of the issuance of such series of warrants.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issue warrants to purchase common stock, preferred stock, debt securities or any combination thereof (including in the form of units), which we refer to in this prospectus, collectively, as the “underlying warrant securities.” The warrants may be issued independently or together with any series of underlying warrant securities and may be attached or separate from the underlying warrant securities. Each series of warrants will be issued pursuant to a separate form of warrant and may be issued pursuant to a separate warrant agreement to be entered into between us and a warrant agent. Any warrant agent will act solely as our agent in connection with the warrants of such series and will not assume any obligation or relationship of agency for or with holders or beneficial owners of warrants.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will describe the terms of any series of warrants in respect of which this prospectus is being delivered, including the following:</w:t>
      </w:r>
    </w:p>
    <w:p>
      <w:pPr>
        <w:spacing w:after="0" w:line="162"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warrants will be issued;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 which the price of the warrants may be payable;</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underlying warrant securities purchasable upon exercise of the warrants and the number of such underlying warrant securities issuable upon exercise of the warrants;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and the currency or currencies, including composite currencies, in which the underlying warrant securities purchasable upon exercise of the warrants may be purchased;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commence and the date on which that right will expire (subject to any extension);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issued in registered form or bearer form;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which may be exercised at any one time;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underlying warrant securities with which the warrants are issued and the number of the warrants issued with each underlying warrant security;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the warrants and the related underlying warrant securities will be separately transferable;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the material United States federal income tax considerations applicable to the issuance or exercise of the warrants;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warrants, including terms, procedures and limitations relating to the exchange and exercise of the warrants.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Amendments and Supplements to Warrant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warrant agreement for a series of warrants, if applicable, may be amended or supplemented without the consent of the holders of the warrants issued thereunder to effect changes that are not inconsistent with the provisions of the warrants and that do not adversely affect the interests of the holders of the warrants.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RIGHTS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section describes the general terms of the rights that we may offer and sell by this prospectus. This prospectus and any accompanying prospectus supplement will contain the material terms and conditions for each right. The accompanying prospectus supplement may add, update or change the terms and conditions of the rights as described in this prospectus.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particular terms of each issue of rights, the rights agreement relating to the rights and the rights certificates representing rights will be described in the applicable prospectus supplement, including, as applicable:</w:t>
      </w:r>
    </w:p>
    <w:p>
      <w:pPr>
        <w:spacing w:after="0" w:line="162"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determining the c entitled to the rights distribution;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aggregate number of shares of common stock or preferred stock purchasable upon exercise of the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rights issued;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rights will be separately transferable;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rights will commence and the date on which the right will expire;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rights, including terms, procedures and limitations relating to the distribution, exchange and exercise of the rights.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right will entitle the holder of rights to purchase for cash the principal amount of shares of common stock or preferred stock at the exercise price provided in the applicable prospectus supplement. Rights may be exercised at any time up to the close of business on the expiration date for the rights provided in the applicable prospectus supplement. After the close of business on the expiration date, all unexercised rights will be void.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shares of common stock or preferred stock purchasable upon exercise of the rights. If less than all of the rights issued in any rights offering are exercised, we may offer any unsubscribed securities directly to persons other than securityholders, to or through agents, underwriters or dealers or through a combination of such methods, including pursuant to standby underwriting arrangements, as described in the applicable prospectus supplement.</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supplements, summarizes the material terms and provisions of the units that we may offer under this prospectus. Units may be offered independently or together with common stock, preferred stock, debt securities, and warrants offered by any prospectus supplement, and may be attached to or separate from those securities. While the terms we have summarized below will generally apply to any future units that we may offer under this prospectus, we will describe the particular terms of any series of units that we may offer in more detail in the applicable prospectus supplement. The terms of any units offered under a prospectus supplement may differ from the terms described below.</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incorporate by reference into the registration statement, of which this prospectus is a part, the form of unit agreement, including a form of unit certificate, if any, that describes the terms of the series of units we are offering before the issuance of the related series of units. The following summaries of material provisions of the units and the unit agreements are subject to, and qualified in their entirety by reference to, all the provisions of the unit agreement applicable to a particular series of units. We urge you to read the applicable prospectus supplements related to the units that we sell under this prospectus, as well as the complete unit agreements that contain the terms of the units.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issue units consisting of common stock, preferred stock, debt securities, and/or warrants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units, including the following:</w:t>
      </w:r>
    </w:p>
    <w:p>
      <w:pPr>
        <w:spacing w:after="0" w:line="225" w:lineRule="exact"/>
        <w:rPr>
          <w:sz w:val="20"/>
          <w:szCs w:val="20"/>
          <w:color w:val="auto"/>
        </w:rPr>
      </w:pPr>
    </w:p>
    <w:p>
      <w:pPr>
        <w:ind w:left="660" w:right="2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governing unit agreement that differ from those described below;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provisions described in this section, as well as those described in the sections entitled “Description of Common Stock and Preferred Stock,” “Description of Debt Securities,” and “Description of Warrants,” will apply to each unit and to any common stock, preferred stock, debt security, or warrant included in each unit,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in Series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issue units in such amounts and in such numerous distinct series as we determine.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Units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the unit agent, and any of their agents may treat the registered holder of any unit certificate as an absolute owner of the units evidenced by that certificate for any purposes and as the person entitled to exercise the rights attaching to the units so requested, despite any notice to the contrary.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Book-Entry, Delivery and Form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Unless we indicate differently in a prospectus supplement, the securities initially will be issued in book-entry form and represented by one or more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DTC has advised us that it is:</w:t>
      </w:r>
    </w:p>
    <w:p>
      <w:pPr>
        <w:spacing w:after="0" w:line="225"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limited-purpose trust company organized under the New York Banking Law;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“banking organization” within the meaning of the New York Banking Law;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Federal Reserve System;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corporation” within the meaning of the New York Uniform Commercial Code;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agency” registered pursuant to the provisions of Section 17A of the Securities Exchange Act of 1934, as amended, or Exchange Act.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9" w:name="page40"/>
    <w:bookmarkEnd w:id="3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noted above, beneficial owners of a particular series of securities generally will not receive certificates representing their ownership interests in those securities. However, if:</w:t>
      </w:r>
    </w:p>
    <w:p>
      <w:pPr>
        <w:spacing w:after="0" w:line="162" w:lineRule="exact"/>
        <w:rPr>
          <w:sz w:val="20"/>
          <w:szCs w:val="20"/>
          <w:color w:val="auto"/>
        </w:rPr>
      </w:pPr>
    </w:p>
    <w:p>
      <w:pPr>
        <w:jc w:val="both"/>
        <w:ind w:left="660" w:hanging="328"/>
        <w:spacing w:after="0" w:line="261"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 in our sole discretion, not to have such securities represented by one or more global securities; or</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has occurred and is continuing with respect to such series of securities, 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obtained the information in this section and elsewhere in this prospectus concerning DTC and DTC’s book-entry system from sources that are believed to be reliable, but we take no responsibility for the accuracy of this information.</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prospectus relates to from time to time the offer and sale by us of up to $100,000,000 in the aggregate of the Company’s Common Stock, preferred stock, debt securities, warrants, rights or units.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registering the securities covered by this prospectus on our behalf. All costs, expenses and fees connected with the registration of such securities will be borne by us. Any brokerage commissions and similar expenses connected with selling such securities will be borne by us according to the allocation of securities sold.</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Upon effectiveness of the registration statement of which this prospectus forms a part, the securities beneficially owned by us covered by this prospectus may be offered and sold from time to time by us. We may sell securities, from time to time through one or more underwriters, dealers or agents, directly to one or more purchasers or through a combination of any of these methods of sale or any other method permitted by law. We may sell securities offered by this prospectus on any stock exchange, market or trading facility on which the securities are traded or in private transactions. Subject to the limitations set forth in any applicable registration rights agreement, we may use any one or more of the following methods when selling the securities offered by this prospectus:</w:t>
      </w:r>
    </w:p>
    <w:p>
      <w:pPr>
        <w:spacing w:after="0" w:line="187"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such broker-dealer for its own account pursuant to this prospectus;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so engaged will attempt to sell the securities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over-the-counter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 entered into after the date of this prospectus;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with broker-dealers to sell a specified number of the securities at a stipulated price per share;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directly to purchasers, including through a specific bidding, auction or other process or in privately negotiated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above methods;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1" w:name="page42"/>
    <w:bookmarkEnd w:id="41"/>
    <w:p>
      <w:pPr>
        <w:jc w:val="both"/>
        <w:spacing w:after="0" w:line="282" w:lineRule="auto"/>
        <w:rPr>
          <w:sz w:val="20"/>
          <w:szCs w:val="20"/>
          <w:color w:val="auto"/>
        </w:rPr>
      </w:pPr>
      <w:r>
        <w:rPr>
          <w:rFonts w:ascii="Times New Roman" w:cs="Times New Roman" w:eastAsia="Times New Roman" w:hAnsi="Times New Roman"/>
          <w:sz w:val="18"/>
          <w:szCs w:val="18"/>
          <w:color w:val="auto"/>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of 1933, as amended (which we refer to as the “Securities Act” in this prospectus,),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enter into hedging transactions with broker-dealers or other financial institutions, which may in turn engage in short sales of our securities in the course of hedging the positions they assume. We may also sell the securities short and deliver these securities to close out their short positions, or loan or pledge the securities to broker-dealers that in turn may sell these shares. We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The third party in such sale transactions will be an underwriter and will be identified in the applicable prospectus supplement (or a post-effective amendment to the registration statement of which this prospectus is a part).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otherwise indicated in an applicable prospectus supplement, the validity of the securities to be offered by this prospectus will be passed upon for us by White &amp; Case LLP, 1221 Avenue of the Americas, New York, New York 10020 and for any agents, underwriters, dealers, remarketing firms or other third parties by counsel named in the applicable prospectus supplement.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financial statements of the Company and subsidiaries as of and for the year ended December 31, 2023, incorporated by reference in this prospectus,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the Company and subsidiaries as of and for the year ended December 31, 2022, have been incorporated by reference in this prospectus, have been audited by Frank, Rimerman + Co. LLP, an independent registered public accounting firm, as stated in their report. Such financial statements are incorporated by reference in reliance upon the report of such firm given their authority as experts in accounting and auditing.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We have also filed a registration statement on Form S-3, including exhibits, under the Securities Act with respect to the securities offered by this prospectus. This prospectus is part of the registration statement, but does not contain all of the information included in the registration statement or the exhibits. Our SEC filings are available to the public on the internet at a website maintained by the SEC located at http://www.sec.gov. Those filings are also available to the public on, or accessible through, our website under the heading “Investors” at </w:t>
      </w:r>
      <w:r>
        <w:rPr>
          <w:rFonts w:ascii="Times New Roman" w:cs="Times New Roman" w:eastAsia="Times New Roman" w:hAnsi="Times New Roman"/>
          <w:sz w:val="18"/>
          <w:szCs w:val="18"/>
          <w:i w:val="1"/>
          <w:iCs w:val="1"/>
          <w:color w:val="auto"/>
        </w:rPr>
        <w:t>https://www.tigoenergy.com/</w:t>
      </w:r>
      <w:r>
        <w:rPr>
          <w:rFonts w:ascii="Times New Roman" w:cs="Times New Roman" w:eastAsia="Times New Roman" w:hAnsi="Times New Roman"/>
          <w:sz w:val="18"/>
          <w:szCs w:val="18"/>
          <w:color w:val="auto"/>
        </w:rPr>
        <w:t>. The information on our web site, however, is not, and should not be deemed to be, a part of this prospectus.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3" w:name="page44"/>
    <w:bookmarkEnd w:id="43"/>
    <w:p>
      <w:pPr>
        <w:spacing w:after="0" w:line="282" w:lineRule="auto"/>
        <w:rPr>
          <w:sz w:val="20"/>
          <w:szCs w:val="20"/>
          <w:color w:val="auto"/>
        </w:rPr>
      </w:pPr>
      <w:r>
        <w:rPr>
          <w:rFonts w:ascii="Times New Roman" w:cs="Times New Roman" w:eastAsia="Times New Roman" w:hAnsi="Times New Roman"/>
          <w:sz w:val="18"/>
          <w:szCs w:val="18"/>
          <w:color w:val="auto"/>
        </w:rPr>
        <w:t>This prospectus and any accompanying prospectus supplement incorporate by reference the documents set forth below (excluding any portions of such documents that have been “furnished to” but not “filed with” the SEC for purposes of the Exchange Act):</w:t>
      </w:r>
    </w:p>
    <w:p>
      <w:pPr>
        <w:spacing w:after="0" w:line="162"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1">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2023, filed with the SEC on March 21, 2024;</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w:t>
      </w:r>
      <w:hyperlink r:id="rId31">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year ended December 31, 2023, from our Definitive Proxy Statement on </w:t>
      </w:r>
      <w:hyperlink r:id="rId32">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xml:space="preserve">, filed with the SEC on April 5, 2024, as supplemented by our Additional Definitive Proxy Materials on </w:t>
      </w:r>
      <w:hyperlink r:id="rId33">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with the SEC on April 19, 2024;</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auto"/>
          </w:rPr>
          <w:t xml:space="preserve">our Quarterly Report on </w:t>
        </w:r>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color w:val="auto"/>
          </w:rPr>
          <w:t xml:space="preserve"> for the quarter ended March 31, 2024, filed with the SEC on May 14, 2024 and our Quarterly Report on </w:t>
        </w:r>
        <w:r>
          <w:rPr>
            <w:rFonts w:ascii="Times New Roman" w:cs="Times New Roman" w:eastAsia="Times New Roman" w:hAnsi="Times New Roman"/>
            <w:sz w:val="18"/>
            <w:szCs w:val="18"/>
            <w:u w:val="single" w:color="auto"/>
            <w:color w:val="0000EE"/>
          </w:rPr>
          <w:t>Form</w:t>
        </w:r>
      </w:hyperlink>
      <w:r>
        <w:rPr>
          <w:rFonts w:ascii="Times New Roman" w:cs="Times New Roman" w:eastAsia="Times New Roman" w:hAnsi="Times New Roman"/>
          <w:sz w:val="18"/>
          <w:szCs w:val="18"/>
          <w:color w:val="auto"/>
        </w:rPr>
        <w:t xml:space="preserve"> </w:t>
      </w:r>
      <w:hyperlink r:id="rId34">
        <w:r>
          <w:rPr>
            <w:rFonts w:ascii="Times New Roman" w:cs="Times New Roman" w:eastAsia="Times New Roman" w:hAnsi="Times New Roman"/>
            <w:sz w:val="18"/>
            <w:szCs w:val="18"/>
            <w:u w:val="single" w:color="auto"/>
            <w:color w:val="0000EE"/>
          </w:rPr>
          <w:t>10-Q</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for the quarter ended June 30, 2024, filed with the SEC on August 6, 2024;</w:t>
        </w:r>
      </w:hyperlink>
    </w:p>
    <w:p>
      <w:pPr>
        <w:spacing w:after="0" w:line="161" w:lineRule="exact"/>
        <w:rPr>
          <w:rFonts w:ascii="Times New Roman" w:cs="Times New Roman" w:eastAsia="Times New Roman" w:hAnsi="Times New Roman"/>
          <w:sz w:val="18"/>
          <w:szCs w:val="18"/>
          <w:color w:val="0000EE"/>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71">
        <w:r>
          <w:rPr>
            <w:rFonts w:ascii="Times New Roman" w:cs="Times New Roman" w:eastAsia="Times New Roman" w:hAnsi="Times New Roman"/>
            <w:sz w:val="18"/>
            <w:szCs w:val="18"/>
            <w:u w:val="single" w:color="auto"/>
            <w:color w:val="0000EE"/>
          </w:rPr>
          <w:t>February 8,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72">
        <w:r>
          <w:rPr>
            <w:rFonts w:ascii="Times New Roman" w:cs="Times New Roman" w:eastAsia="Times New Roman" w:hAnsi="Times New Roman"/>
            <w:sz w:val="18"/>
            <w:szCs w:val="18"/>
            <w:u w:val="single" w:color="auto"/>
            <w:color w:val="0000EE"/>
          </w:rPr>
          <w:t>May 21, 2024</w:t>
        </w:r>
      </w:hyperlink>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6"/>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description of our capital stock contained in our Registration Statement on </w:t>
      </w:r>
      <w:hyperlink r:id="rId40">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001-40710) as originally filed with the SEC on August 4, 2021 and any amendment or report filed for the purpose of updating this information (including </w:t>
      </w:r>
      <w:hyperlink r:id="rId41">
        <w:r>
          <w:rPr>
            <w:rFonts w:ascii="Times New Roman" w:cs="Times New Roman" w:eastAsia="Times New Roman" w:hAnsi="Times New Roman"/>
            <w:sz w:val="18"/>
            <w:szCs w:val="18"/>
            <w:u w:val="single" w:color="auto"/>
            <w:color w:val="0000EE"/>
          </w:rPr>
          <w:t>Exhibit 4.2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our Annual Report on </w:t>
      </w:r>
      <w:hyperlink r:id="rId31">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 fiscal year ended December 31, 2023), which description is incorporated herein by reference.</w:t>
      </w:r>
    </w:p>
    <w:p>
      <w:pPr>
        <w:spacing w:after="0" w:line="176" w:lineRule="exact"/>
        <w:rPr>
          <w:rFonts w:ascii="Times New Roman" w:cs="Times New Roman" w:eastAsia="Times New Roman" w:hAnsi="Times New Roman"/>
          <w:sz w:val="18"/>
          <w:szCs w:val="18"/>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reports and other documents we subsequently file pursuant to Section 13(a), 13(c), 14 or 15(d) of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under the Exchange Act, will also be incorporated by reference into this prospectus and deemed to be part of this prospectus from the date of the filing of such reports and documents.</w:t>
      </w:r>
    </w:p>
    <w:p>
      <w:pPr>
        <w:spacing w:after="0" w:line="180" w:lineRule="exact"/>
        <w:rPr>
          <w:rFonts w:ascii="Times New Roman" w:cs="Times New Roman" w:eastAsia="Times New Roman" w:hAnsi="Times New Roman"/>
          <w:sz w:val="18"/>
          <w:szCs w:val="18"/>
          <w:color w:val="auto"/>
        </w:rPr>
      </w:pPr>
    </w:p>
    <w:p>
      <w:pPr>
        <w:jc w:val="center"/>
        <w:ind w:right="300"/>
        <w:spacing w:after="0"/>
        <w:rPr>
          <w:sz w:val="20"/>
          <w:szCs w:val="20"/>
          <w:color w:val="auto"/>
        </w:rPr>
      </w:pPr>
      <w:r>
        <w:rPr>
          <w:rFonts w:ascii="Times New Roman" w:cs="Times New Roman" w:eastAsia="Times New Roman" w:hAnsi="Times New Roman"/>
          <w:sz w:val="17"/>
          <w:szCs w:val="17"/>
          <w:color w:val="auto"/>
        </w:rPr>
        <w:t>You may request a free copy of any of the documents incorporated by reference in this prospectus by writing or telephoning us at the following address:</w:t>
      </w:r>
    </w:p>
    <w:p>
      <w:pPr>
        <w:spacing w:after="0" w:line="23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Tigo Energy, Inc.</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655 Campbell Technology Parkway, Suite 150</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Campbell, California 95008</w:t>
      </w:r>
    </w:p>
    <w:p>
      <w:pPr>
        <w:spacing w:after="0" w:line="9" w:lineRule="exact"/>
        <w:rPr>
          <w:rFonts w:ascii="Times New Roman" w:cs="Times New Roman" w:eastAsia="Times New Roman" w:hAnsi="Times New Roman"/>
          <w:sz w:val="18"/>
          <w:szCs w:val="18"/>
          <w:color w:val="auto"/>
        </w:rPr>
      </w:pPr>
    </w:p>
    <w:p>
      <w:pPr>
        <w:ind w:left="5500" w:hanging="438"/>
        <w:spacing w:after="0"/>
        <w:tabs>
          <w:tab w:leader="none" w:pos="55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402-0802</w:t>
      </w:r>
    </w:p>
    <w:p>
      <w:pPr>
        <w:spacing w:after="0" w:line="9" w:lineRule="exact"/>
        <w:rPr>
          <w:rFonts w:ascii="Times New Roman" w:cs="Times New Roman" w:eastAsia="Times New Roman" w:hAnsi="Times New Roman"/>
          <w:sz w:val="18"/>
          <w:szCs w:val="18"/>
          <w:color w:val="auto"/>
        </w:rPr>
      </w:pPr>
    </w:p>
    <w:p>
      <w:pPr>
        <w:ind w:left="4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Bill Roeschlein</w:t>
      </w:r>
    </w:p>
    <w:p>
      <w:pPr>
        <w:spacing w:after="0" w:line="207" w:lineRule="exact"/>
        <w:rPr>
          <w:rFonts w:ascii="Times New Roman" w:cs="Times New Roman" w:eastAsia="Times New Roman" w:hAnsi="Times New Roman"/>
          <w:sz w:val="18"/>
          <w:szCs w:val="18"/>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Exhibits to the filings will not be sent, however, unless those exhibits have specifically been incorporated by reference in this prospectus or any accompanying prospectus supplement.</w:t>
      </w:r>
    </w:p>
    <w:p>
      <w:pPr>
        <w:spacing w:after="0" w:line="158"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FOR SECURITIES ACT LIABILITIES</w:t>
      </w:r>
    </w:p>
    <w:p>
      <w:pPr>
        <w:spacing w:after="0" w:line="229" w:lineRule="exact"/>
        <w:rPr>
          <w:rFonts w:ascii="Times New Roman" w:cs="Times New Roman" w:eastAsia="Times New Roman" w:hAnsi="Times New Roman"/>
          <w:sz w:val="18"/>
          <w:szCs w:val="18"/>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284"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4" w:name="page45"/>
    <w:bookmarkEnd w:id="44"/>
    <w:p>
      <w:pPr>
        <w:spacing w:after="0" w:line="3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3234055</wp:posOffset>
            </wp:positionH>
            <wp:positionV relativeFrom="page">
              <wp:posOffset>517525</wp:posOffset>
            </wp:positionV>
            <wp:extent cx="1054100" cy="4540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1054100" cy="45402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$14,221,459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PROSPECTUS SUPPLEMENT</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Craig-Hallum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November 26,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568325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o"/>
      <w:numFmt w:val="bullet"/>
      <w:start w:val="1"/>
    </w:lvl>
  </w:abstractNum>
  <w:abstractNum w:abstractNumId="2">
    <w:nsid w:val="1BEFD79F"/>
    <w:multiLevelType w:val="hybridMultilevel"/>
    <w:lvl w:ilvl="0">
      <w:lvlJc w:val="left"/>
      <w:lvlText w:val="o"/>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
      <w:numFmt w:val="bullet"/>
      <w:start w:val="1"/>
    </w:lvl>
  </w:abstractNum>
  <w:abstractNum w:abstractNumId="25">
    <w:nsid w:val="189A769B"/>
    <w:multiLevelType w:val="hybridMultilevel"/>
    <w:lvl w:ilvl="0">
      <w:lvlJc w:val="left"/>
      <w:lvlText w:val="●"/>
      <w:numFmt w:val="bullet"/>
      <w:start w:val="1"/>
    </w:lvl>
  </w:abstractNum>
  <w:abstractNum w:abstractNumId="26">
    <w:nsid w:val="54E49EB4"/>
    <w:multiLevelType w:val="hybridMultilevel"/>
    <w:lvl w:ilvl="0">
      <w:lvlJc w:val="left"/>
      <w:lvlText w:val="(%1)"/>
      <w:numFmt w:val="decimal"/>
      <w:start w:val="40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jpe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3" Type="http://schemas.openxmlformats.org/officeDocument/2006/relationships/image" Target="media/image53.png"/><Relationship Id="rId74" Type="http://schemas.openxmlformats.org/officeDocument/2006/relationships/image" Target="media/image54.jpeg"/><Relationship Id="rId75" Type="http://schemas.openxmlformats.org/officeDocument/2006/relationships/image" Target="media/image55.png"/><Relationship Id="rId31" Type="http://schemas.openxmlformats.org/officeDocument/2006/relationships/hyperlink" Target="http://www.sec.gov/Archives/edgar/data/1855447/000095017024034765/tygo-20231231.htm" TargetMode="External"/><Relationship Id="rId32" Type="http://schemas.openxmlformats.org/officeDocument/2006/relationships/hyperlink" Target="http://www.sec.gov/Archives/edgar/data/1855447/000095017024042233/tygo_proxy_def_14a_2024.htm" TargetMode="External"/><Relationship Id="rId33" Type="http://schemas.openxmlformats.org/officeDocument/2006/relationships/hyperlink" Target="http://www.sec.gov/Archives/edgar/data/1855447/000095017024045975/tygo_defa14a_-_supplemen.htm" TargetMode="External"/><Relationship Id="rId34" Type="http://schemas.openxmlformats.org/officeDocument/2006/relationships/hyperlink" Target="http://www.sec.gov/Archives/edgar/data/1855447/000095017024091765/tygo-20240630.htm" TargetMode="External"/><Relationship Id="rId35" Type="http://schemas.openxmlformats.org/officeDocument/2006/relationships/hyperlink" Target="http://www.sec.gov/Archives/edgar/data/1855447/000095017024122269/tygo-20240930.htm" TargetMode="External"/><Relationship Id="rId36" Type="http://schemas.openxmlformats.org/officeDocument/2006/relationships/hyperlink" Target="http://www.sec.gov/Archives/edgar/data/1855447/000121390024011667/ea193233-8k_tigoenergy.htm" TargetMode="External"/><Relationship Id="rId37" Type="http://schemas.openxmlformats.org/officeDocument/2006/relationships/hyperlink" Target="http://www.sec.gov/Archives/edgar/data/1855447/000121390024045365/ea0206596-8k_tigo.htm" TargetMode="External"/><Relationship Id="rId38" Type="http://schemas.openxmlformats.org/officeDocument/2006/relationships/hyperlink" Target="http://www.sec.gov/Archives/edgar/data/1855447/000121390024083394/ea0216161-8k_tigo.htm" TargetMode="External"/><Relationship Id="rId39" Type="http://schemas.openxmlformats.org/officeDocument/2006/relationships/hyperlink" Target="http://www.sec.gov/Archives/edgar/data/1855447/000121390024085918/ea0216951-8k_tigo.htm" TargetMode="External"/><Relationship Id="rId40" Type="http://schemas.openxmlformats.org/officeDocument/2006/relationships/hyperlink" Target="http://www.sec.gov/Archives/edgar/data/1855447/000110465921099938/tm2112097d6_8a12b.htm" TargetMode="External"/><Relationship Id="rId41" Type="http://schemas.openxmlformats.org/officeDocument/2006/relationships/hyperlink" Target="http://www.sec.gov/Archives/edgar/data/1855447/000095017024034765/tygo-ex4_2.htm" TargetMode="External"/><Relationship Id="rId71" Type="http://schemas.openxmlformats.org/officeDocument/2006/relationships/hyperlink" Target="http://www.sec.gov/ix?doc=/Archives/edgar/data/1855447/000121390024011667/ea193233-8k_tigoenergy.htm" TargetMode="External"/><Relationship Id="rId72" Type="http://schemas.openxmlformats.org/officeDocument/2006/relationships/hyperlink" Target="http://www.sec.gov/ix?doc=/Archives/edgar/data/1855447/000121390024045365/ea0206596-8k_tig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2024-11-26T18:32:45Z</dcterms:created>
  <dcterms:modified xsi:type="dcterms:W3CDTF">2024-11-26T18:32:45Z</dcterms:modified>
</cp:coreProperties>
</file>