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7935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7935595"/>
                    </a:xfrm>
                    <a:prstGeom prst="rect">
                      <a:avLst/>
                    </a:prstGeom>
                    <a:noFill/>
                  </pic:spPr>
                </pic:pic>
              </a:graphicData>
            </a:graphic>
          </wp:anchor>
        </w:drawing>
      </w:r>
    </w:p>
    <w:p>
      <w:pPr>
        <w:spacing w:after="0" w:line="1243" w:lineRule="exact"/>
        <w:rPr>
          <w:sz w:val="24"/>
          <w:szCs w:val="24"/>
          <w:color w:val="auto"/>
        </w:rPr>
      </w:pPr>
    </w:p>
    <w:p>
      <w:pPr>
        <w:sectPr>
          <w:pgSz w:w="11900" w:h="1686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ALON ZVI</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983 UNIVERSITY AVENUE, SUITE 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TIGO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TYGO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0"/>
        <w:spacing w:after="0"/>
        <w:tabs>
          <w:tab w:leader="none" w:pos="1707"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255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55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7"/>
          <w:szCs w:val="17"/>
          <w:color w:val="0000FF"/>
        </w:rPr>
        <w:t>CEO / Chairperson</w:t>
      </w:r>
    </w:p>
    <w:p>
      <w:pPr>
        <w:spacing w:after="0" w:line="277" w:lineRule="exact"/>
        <w:rPr>
          <w:sz w:val="24"/>
          <w:szCs w:val="24"/>
          <w:color w:val="auto"/>
        </w:rPr>
      </w:pPr>
    </w:p>
    <w:p>
      <w:pPr>
        <w:sectPr>
          <w:pgSz w:w="11900" w:h="16868" w:orient="portrait"/>
          <w:cols w:equalWidth="0" w:num="3">
            <w:col w:w="3200" w:space="720"/>
            <w:col w:w="3100" w:space="720"/>
            <w:col w:w="3340"/>
          </w:cols>
          <w:pgMar w:left="460" w:top="217" w:right="359" w:bottom="0" w:gutter="0" w:footer="0" w:header="0"/>
          <w:type w:val="continuous"/>
        </w:sectPr>
      </w:pP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680" w:type="dxa"/>
            <w:vAlign w:val="bottom"/>
            <w:gridSpan w:val="6"/>
            <w:vMerge w:val="restart"/>
          </w:tcPr>
          <w:p>
            <w:pPr>
              <w:jc w:val="center"/>
              <w:ind w:right="32"/>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80" w:type="dxa"/>
            <w:vAlign w:val="bottom"/>
            <w:gridSpan w:val="6"/>
            <w:vMerge w:val="continue"/>
          </w:tcPr>
          <w:p>
            <w:pPr>
              <w:spacing w:after="0"/>
              <w:rPr>
                <w:sz w:val="10"/>
                <w:szCs w:val="10"/>
                <w:color w:val="auto"/>
              </w:rPr>
            </w:pPr>
          </w:p>
        </w:tc>
        <w:tc>
          <w:tcPr>
            <w:tcW w:w="36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Line)</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LOS GATOS</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95032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gridSpan w:val="5"/>
          </w:tcPr>
          <w:p>
            <w:pPr>
              <w:ind w:left="220"/>
              <w:spacing w:after="0"/>
              <w:rPr>
                <w:sz w:val="20"/>
                <w:szCs w:val="20"/>
                <w:color w:val="auto"/>
              </w:rPr>
            </w:pPr>
            <w:r>
              <w:rPr>
                <w:rFonts w:ascii="Arial" w:cs="Arial" w:eastAsia="Arial" w:hAnsi="Arial"/>
                <w:sz w:val="13"/>
                <w:szCs w:val="13"/>
                <w:color w:val="auto"/>
              </w:rPr>
              <w:t>Form filed by One Reporting Person</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ind w:left="220"/>
              <w:spacing w:after="0"/>
              <w:rPr>
                <w:sz w:val="20"/>
                <w:szCs w:val="20"/>
                <w:color w:val="auto"/>
              </w:rPr>
            </w:pPr>
            <w:r>
              <w:rPr>
                <w:rFonts w:ascii="Arial" w:cs="Arial" w:eastAsia="Arial" w:hAnsi="Arial"/>
                <w:sz w:val="13"/>
                <w:szCs w:val="13"/>
                <w:color w:val="auto"/>
              </w:rPr>
              <w:t>Person</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5"/>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jc w:val="center"/>
              <w:ind w:left="52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520" w:type="dxa"/>
            <w:vAlign w:val="bottom"/>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27"/>
              <w:spacing w:after="0"/>
              <w:rPr>
                <w:sz w:val="20"/>
                <w:szCs w:val="20"/>
                <w:color w:val="auto"/>
              </w:rPr>
            </w:pPr>
            <w:r>
              <w:rPr>
                <w:rFonts w:ascii="Times New Roman" w:cs="Times New Roman" w:eastAsia="Times New Roman" w:hAnsi="Times New Roman"/>
                <w:sz w:val="17"/>
                <w:szCs w:val="17"/>
                <w:color w:val="0000FF"/>
              </w:rPr>
              <w:t>06/01/2026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42,167</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0.56</w:t>
            </w: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1,431,033</w:t>
            </w:r>
            <w:r>
              <w:rPr>
                <w:rFonts w:ascii="Times New Roman" w:cs="Times New Roman" w:eastAsia="Times New Roman" w:hAnsi="Times New Roman"/>
                <w:sz w:val="21"/>
                <w:szCs w:val="21"/>
                <w:color w:val="008000"/>
                <w:w w:val="91"/>
                <w:vertAlign w:val="superscript"/>
              </w:rPr>
              <w:t>(2)(3)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27"/>
              <w:spacing w:after="0"/>
              <w:rPr>
                <w:sz w:val="20"/>
                <w:szCs w:val="20"/>
                <w:color w:val="auto"/>
              </w:rPr>
            </w:pPr>
            <w:r>
              <w:rPr>
                <w:rFonts w:ascii="Times New Roman" w:cs="Times New Roman" w:eastAsia="Times New Roman" w:hAnsi="Times New Roman"/>
                <w:sz w:val="17"/>
                <w:szCs w:val="17"/>
                <w:color w:val="0000FF"/>
              </w:rPr>
              <w:t>06/01/2026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42,167</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3.85</w:t>
            </w:r>
            <w:r>
              <w:rPr>
                <w:rFonts w:ascii="Times New Roman" w:cs="Times New Roman" w:eastAsia="Times New Roman" w:hAnsi="Times New Roman"/>
                <w:sz w:val="21"/>
                <w:szCs w:val="21"/>
                <w:color w:val="008000"/>
                <w:w w:val="93"/>
                <w:vertAlign w:val="superscript"/>
              </w:rPr>
              <w:t>(4)</w:t>
            </w: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1,388,866</w:t>
            </w:r>
            <w:r>
              <w:rPr>
                <w:rFonts w:ascii="Times New Roman" w:cs="Times New Roman" w:eastAsia="Times New Roman" w:hAnsi="Times New Roman"/>
                <w:sz w:val="21"/>
                <w:szCs w:val="21"/>
                <w:color w:val="008000"/>
                <w:w w:val="91"/>
                <w:vertAlign w:val="superscript"/>
              </w:rPr>
              <w:t>(2)(3)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27"/>
              <w:spacing w:after="0"/>
              <w:rPr>
                <w:sz w:val="20"/>
                <w:szCs w:val="20"/>
                <w:color w:val="auto"/>
              </w:rPr>
            </w:pPr>
            <w:r>
              <w:rPr>
                <w:rFonts w:ascii="Times New Roman" w:cs="Times New Roman" w:eastAsia="Times New Roman" w:hAnsi="Times New Roman"/>
                <w:sz w:val="17"/>
                <w:szCs w:val="17"/>
                <w:color w:val="0000FF"/>
              </w:rPr>
              <w:t>06/02/2026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84,356</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0.56</w:t>
            </w: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1,473,222</w:t>
            </w:r>
            <w:r>
              <w:rPr>
                <w:rFonts w:ascii="Times New Roman" w:cs="Times New Roman" w:eastAsia="Times New Roman" w:hAnsi="Times New Roman"/>
                <w:sz w:val="21"/>
                <w:szCs w:val="21"/>
                <w:color w:val="008000"/>
                <w:w w:val="91"/>
                <w:vertAlign w:val="superscript"/>
              </w:rPr>
              <w:t>(2)(3)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27"/>
              <w:spacing w:after="0"/>
              <w:rPr>
                <w:sz w:val="20"/>
                <w:szCs w:val="20"/>
                <w:color w:val="auto"/>
              </w:rPr>
            </w:pPr>
            <w:r>
              <w:rPr>
                <w:rFonts w:ascii="Times New Roman" w:cs="Times New Roman" w:eastAsia="Times New Roman" w:hAnsi="Times New Roman"/>
                <w:sz w:val="17"/>
                <w:szCs w:val="17"/>
                <w:color w:val="0000FF"/>
              </w:rPr>
              <w:t>06/02/2026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84,356</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3.72</w:t>
            </w:r>
            <w:r>
              <w:rPr>
                <w:rFonts w:ascii="Times New Roman" w:cs="Times New Roman" w:eastAsia="Times New Roman" w:hAnsi="Times New Roman"/>
                <w:sz w:val="21"/>
                <w:szCs w:val="21"/>
                <w:color w:val="008000"/>
                <w:w w:val="93"/>
                <w:vertAlign w:val="superscript"/>
              </w:rPr>
              <w:t>(5)</w:t>
            </w: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1,388,866</w:t>
            </w:r>
            <w:r>
              <w:rPr>
                <w:rFonts w:ascii="Times New Roman" w:cs="Times New Roman" w:eastAsia="Times New Roman" w:hAnsi="Times New Roman"/>
                <w:sz w:val="21"/>
                <w:szCs w:val="21"/>
                <w:color w:val="008000"/>
                <w:w w:val="91"/>
                <w:vertAlign w:val="superscript"/>
              </w:rPr>
              <w:t>(2)(3)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27"/>
              <w:spacing w:after="0"/>
              <w:rPr>
                <w:sz w:val="20"/>
                <w:szCs w:val="20"/>
                <w:color w:val="auto"/>
              </w:rPr>
            </w:pPr>
            <w:r>
              <w:rPr>
                <w:rFonts w:ascii="Times New Roman" w:cs="Times New Roman" w:eastAsia="Times New Roman" w:hAnsi="Times New Roman"/>
                <w:sz w:val="17"/>
                <w:szCs w:val="17"/>
                <w:color w:val="0000FF"/>
              </w:rPr>
              <w:t>06/03/2026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10,419</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0.56</w:t>
            </w: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1,399,285</w:t>
            </w:r>
            <w:r>
              <w:rPr>
                <w:rFonts w:ascii="Times New Roman" w:cs="Times New Roman" w:eastAsia="Times New Roman" w:hAnsi="Times New Roman"/>
                <w:sz w:val="21"/>
                <w:szCs w:val="21"/>
                <w:color w:val="008000"/>
                <w:w w:val="91"/>
                <w:vertAlign w:val="superscript"/>
              </w:rPr>
              <w:t>(2)(3)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27"/>
              <w:spacing w:after="0"/>
              <w:rPr>
                <w:sz w:val="20"/>
                <w:szCs w:val="20"/>
                <w:color w:val="auto"/>
              </w:rPr>
            </w:pPr>
            <w:r>
              <w:rPr>
                <w:rFonts w:ascii="Times New Roman" w:cs="Times New Roman" w:eastAsia="Times New Roman" w:hAnsi="Times New Roman"/>
                <w:sz w:val="17"/>
                <w:szCs w:val="17"/>
                <w:color w:val="0000FF"/>
              </w:rPr>
              <w:t>06/03/2026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10,419</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3.52</w:t>
            </w:r>
            <w:r>
              <w:rPr>
                <w:rFonts w:ascii="Times New Roman" w:cs="Times New Roman" w:eastAsia="Times New Roman" w:hAnsi="Times New Roman"/>
                <w:sz w:val="21"/>
                <w:szCs w:val="21"/>
                <w:color w:val="008000"/>
                <w:w w:val="93"/>
                <w:vertAlign w:val="superscript"/>
              </w:rPr>
              <w:t>(6)</w:t>
            </w: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1,388,866</w:t>
            </w:r>
            <w:r>
              <w:rPr>
                <w:rFonts w:ascii="Times New Roman" w:cs="Times New Roman" w:eastAsia="Times New Roman" w:hAnsi="Times New Roman"/>
                <w:sz w:val="21"/>
                <w:szCs w:val="21"/>
                <w:color w:val="008000"/>
                <w:w w:val="91"/>
                <w:vertAlign w:val="superscript"/>
              </w:rPr>
              <w:t>(2)(3)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27"/>
              <w:spacing w:after="0"/>
              <w:rPr>
                <w:sz w:val="20"/>
                <w:szCs w:val="20"/>
                <w:color w:val="auto"/>
              </w:rPr>
            </w:pPr>
            <w:r>
              <w:rPr>
                <w:rFonts w:ascii="Times New Roman" w:cs="Times New Roman" w:eastAsia="Times New Roman" w:hAnsi="Times New Roman"/>
                <w:sz w:val="17"/>
                <w:szCs w:val="17"/>
                <w:color w:val="0000FF"/>
              </w:rPr>
              <w:t>06/03/2026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77,493</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3.52</w:t>
            </w:r>
            <w:r>
              <w:rPr>
                <w:rFonts w:ascii="Times New Roman" w:cs="Times New Roman" w:eastAsia="Times New Roman" w:hAnsi="Times New Roman"/>
                <w:sz w:val="21"/>
                <w:szCs w:val="21"/>
                <w:color w:val="008000"/>
                <w:w w:val="93"/>
                <w:vertAlign w:val="superscript"/>
              </w:rPr>
              <w:t>(6)</w:t>
            </w: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89"/>
              </w:rPr>
              <w:t>1,311,373</w:t>
            </w:r>
            <w:r>
              <w:rPr>
                <w:rFonts w:ascii="Times New Roman" w:cs="Times New Roman" w:eastAsia="Times New Roman" w:hAnsi="Times New Roman"/>
                <w:sz w:val="21"/>
                <w:szCs w:val="21"/>
                <w:color w:val="008000"/>
                <w:w w:val="89"/>
                <w:vertAlign w:val="superscript"/>
              </w:rPr>
              <w:t>(2)(3)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0"/>
              </w:rPr>
              <w:t>By</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6"/>
              </w:rPr>
              <w:t>1,774,826</w:t>
            </w:r>
          </w:p>
        </w:tc>
        <w:tc>
          <w:tcPr>
            <w:tcW w:w="300" w:type="dxa"/>
            <w:vAlign w:val="bottom"/>
          </w:tcPr>
          <w:p>
            <w:pPr>
              <w:spacing w:after="0"/>
              <w:rPr>
                <w:sz w:val="17"/>
                <w:szCs w:val="17"/>
                <w:color w:val="auto"/>
              </w:rPr>
            </w:pPr>
          </w:p>
        </w:tc>
        <w:tc>
          <w:tcPr>
            <w:tcW w:w="620" w:type="dxa"/>
            <w:vAlign w:val="bottom"/>
          </w:tcPr>
          <w:p>
            <w:pPr>
              <w:jc w:val="center"/>
              <w:ind w:right="349"/>
              <w:spacing w:after="0"/>
              <w:rPr>
                <w:sz w:val="20"/>
                <w:szCs w:val="20"/>
                <w:color w:val="auto"/>
              </w:rPr>
            </w:pPr>
            <w:r>
              <w:rPr>
                <w:rFonts w:ascii="Times New Roman" w:cs="Times New Roman" w:eastAsia="Times New Roman" w:hAnsi="Times New Roman"/>
                <w:sz w:val="16"/>
                <w:szCs w:val="16"/>
                <w:color w:val="0000FF"/>
                <w:w w:val="74"/>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Alon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6"/>
              </w:rPr>
              <w:t>12,689,306</w:t>
            </w:r>
          </w:p>
        </w:tc>
        <w:tc>
          <w:tcPr>
            <w:tcW w:w="300" w:type="dxa"/>
            <w:vAlign w:val="bottom"/>
          </w:tcPr>
          <w:p>
            <w:pPr>
              <w:spacing w:after="0"/>
              <w:rPr>
                <w:sz w:val="17"/>
                <w:szCs w:val="17"/>
                <w:color w:val="auto"/>
              </w:rPr>
            </w:pPr>
          </w:p>
        </w:tc>
        <w:tc>
          <w:tcPr>
            <w:tcW w:w="620" w:type="dxa"/>
            <w:vAlign w:val="bottom"/>
          </w:tcPr>
          <w:p>
            <w:pPr>
              <w:jc w:val="center"/>
              <w:ind w:right="349"/>
              <w:spacing w:after="0"/>
              <w:rPr>
                <w:sz w:val="20"/>
                <w:szCs w:val="20"/>
                <w:color w:val="auto"/>
              </w:rPr>
            </w:pPr>
            <w:r>
              <w:rPr>
                <w:rFonts w:ascii="Times New Roman" w:cs="Times New Roman" w:eastAsia="Times New Roman" w:hAnsi="Times New Roman"/>
                <w:sz w:val="16"/>
                <w:szCs w:val="16"/>
                <w:color w:val="0000FF"/>
                <w:w w:val="74"/>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Ventures,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60" w:type="dxa"/>
            <w:vAlign w:val="bottom"/>
            <w:tcBorders>
              <w:bottom w:val="single" w:sz="8" w:color="2C2C2C"/>
            </w:tcBorders>
            <w:gridSpan w:val="9"/>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11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67"/>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ind w:right="72"/>
              <w:spacing w:after="0"/>
              <w:rPr>
                <w:sz w:val="20"/>
                <w:szCs w:val="20"/>
                <w:color w:val="auto"/>
              </w:rPr>
            </w:pPr>
            <w:r>
              <w:rPr>
                <w:rFonts w:ascii="Arial" w:cs="Arial" w:eastAsia="Arial" w:hAnsi="Arial"/>
                <w:sz w:val="12"/>
                <w:szCs w:val="12"/>
                <w:b w:val="1"/>
                <w:bCs w:val="1"/>
                <w:color w:val="auto"/>
                <w:w w:val="97"/>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ind w:right="72"/>
              <w:spacing w:after="0" w:line="129"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680" w:type="dxa"/>
            <w:vAlign w:val="bottom"/>
            <w:tcBorders>
              <w:right w:val="single" w:sz="8" w:color="2C2C2C"/>
            </w:tcBorders>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680" w:type="dxa"/>
            <w:vAlign w:val="bottom"/>
            <w:tcBorders>
              <w:right w:val="single" w:sz="8" w:color="2C2C2C"/>
            </w:tcBorders>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2"/>
              </w:rPr>
              <w:t>Direct (D)</w:t>
            </w:r>
          </w:p>
        </w:tc>
        <w:tc>
          <w:tcPr>
            <w:tcW w:w="220" w:type="dxa"/>
            <w:vAlign w:val="bottom"/>
          </w:tcPr>
          <w:p>
            <w:pPr>
              <w:spacing w:after="0"/>
              <w:rPr>
                <w:sz w:val="11"/>
                <w:szCs w:val="11"/>
                <w:color w:val="auto"/>
              </w:rPr>
            </w:pPr>
          </w:p>
        </w:tc>
        <w:tc>
          <w:tcPr>
            <w:tcW w:w="680" w:type="dxa"/>
            <w:vAlign w:val="bottom"/>
            <w:tcBorders>
              <w:right w:val="single" w:sz="8" w:color="2C2C2C"/>
            </w:tcBorders>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680" w:type="dxa"/>
            <w:vAlign w:val="bottom"/>
            <w:tcBorders>
              <w:right w:val="single" w:sz="8" w:color="2C2C2C"/>
            </w:tcBorders>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0.56</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06/01/2026</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42,167</w:t>
            </w: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06/19/2026</w:t>
            </w:r>
          </w:p>
        </w:tc>
        <w:tc>
          <w:tcPr>
            <w:tcW w:w="660" w:type="dxa"/>
            <w:vAlign w:val="bottom"/>
          </w:tcPr>
          <w:p>
            <w:pPr>
              <w:jc w:val="center"/>
              <w:ind w:right="12"/>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42,167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restart"/>
          </w:tcPr>
          <w:p>
            <w:pPr>
              <w:jc w:val="center"/>
              <w:ind w:right="7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94,775</w:t>
            </w: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ind w:right="12"/>
              <w:spacing w:after="0" w:line="142" w:lineRule="exact"/>
              <w:rPr>
                <w:sz w:val="20"/>
                <w:szCs w:val="20"/>
                <w:color w:val="auto"/>
              </w:rPr>
            </w:pPr>
            <w:r>
              <w:rPr>
                <w:rFonts w:ascii="Times New Roman" w:cs="Times New Roman" w:eastAsia="Times New Roman" w:hAnsi="Times New Roman"/>
                <w:sz w:val="13"/>
                <w:szCs w:val="13"/>
                <w:color w:val="0000FF"/>
                <w:w w:val="99"/>
              </w:rPr>
              <w:t>$0.0001</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0.56</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06/02/2026</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84,356</w:t>
            </w: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06/19/2026</w:t>
            </w:r>
          </w:p>
        </w:tc>
        <w:tc>
          <w:tcPr>
            <w:tcW w:w="660" w:type="dxa"/>
            <w:vAlign w:val="bottom"/>
          </w:tcPr>
          <w:p>
            <w:pPr>
              <w:jc w:val="center"/>
              <w:ind w:right="12"/>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84,356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restart"/>
          </w:tcPr>
          <w:p>
            <w:pPr>
              <w:jc w:val="center"/>
              <w:ind w:right="7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10,419</w:t>
            </w: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ind w:right="12"/>
              <w:spacing w:after="0" w:line="142" w:lineRule="exact"/>
              <w:rPr>
                <w:sz w:val="20"/>
                <w:szCs w:val="20"/>
                <w:color w:val="auto"/>
              </w:rPr>
            </w:pPr>
            <w:r>
              <w:rPr>
                <w:rFonts w:ascii="Times New Roman" w:cs="Times New Roman" w:eastAsia="Times New Roman" w:hAnsi="Times New Roman"/>
                <w:sz w:val="13"/>
                <w:szCs w:val="13"/>
                <w:color w:val="0000FF"/>
                <w:w w:val="99"/>
              </w:rPr>
              <w:t>$0.0001</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0.56</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06/03/2026</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10,419</w:t>
            </w: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06/19/2026</w:t>
            </w:r>
          </w:p>
        </w:tc>
        <w:tc>
          <w:tcPr>
            <w:tcW w:w="660" w:type="dxa"/>
            <w:vAlign w:val="bottom"/>
          </w:tcPr>
          <w:p>
            <w:pPr>
              <w:jc w:val="center"/>
              <w:ind w:right="12"/>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10,419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restart"/>
          </w:tcPr>
          <w:p>
            <w:pPr>
              <w:jc w:val="center"/>
              <w:ind w:right="7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2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ind w:right="12"/>
              <w:spacing w:after="0" w:line="142" w:lineRule="exact"/>
              <w:rPr>
                <w:sz w:val="20"/>
                <w:szCs w:val="20"/>
                <w:color w:val="auto"/>
              </w:rPr>
            </w:pPr>
            <w:r>
              <w:rPr>
                <w:rFonts w:ascii="Times New Roman" w:cs="Times New Roman" w:eastAsia="Times New Roman" w:hAnsi="Times New Roman"/>
                <w:sz w:val="13"/>
                <w:szCs w:val="13"/>
                <w:color w:val="0000FF"/>
                <w:w w:val="99"/>
              </w:rPr>
              <w:t>$0.0001</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-2984500</wp:posOffset>
            </wp:positionV>
            <wp:extent cx="29210" cy="2989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210" cy="29895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exercise and sale by the reporting person of a stock option that was set to expire on June 19, 2026.</w:t>
      </w:r>
    </w:p>
    <w:p>
      <w:pPr>
        <w:spacing w:after="0" w:line="43" w:lineRule="exact"/>
        <w:rPr>
          <w:rFonts w:ascii="Times New Roman" w:cs="Times New Roman" w:eastAsia="Times New Roman" w:hAnsi="Times New Roman"/>
          <w:sz w:val="13"/>
          <w:szCs w:val="13"/>
          <w:color w:val="008000"/>
        </w:rPr>
      </w:pPr>
    </w:p>
    <w:p>
      <w:pPr>
        <w:ind w:left="40" w:right="180" w:firstLine="2"/>
        <w:spacing w:after="0" w:line="23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57,971 shares of Common Stock underlying RSUs granted to the reporting person on August 11, 2023 (the "August 2023 Grant Date"), 222,220 shares of Common Stock underlying RSUs granted to the reporting person on September 16, 2024 (the "September 2024 Grant Date"), and 360,687 shares of Common Stock underlying RSU's granted to the reporting person on August 1, 2025 (the "August 2025 Grant Date") in each case, pursuant to the Issuer's 2023 Incentive Plan. One-Third (1/3) of the RSUs initially granted to the reporting person on August 11, 2023 vested and were delivered to the reporting person on August 11, 2024, the first anniversary of the August 2023 Grant Date, and one-third of the RSUs subject to the grant shall vest and be deliverable to the reporting person on each of the second and third anniversaries of the August 2023 Grant Date, subject to continued service through each such vesting date.</w:t>
      </w:r>
    </w:p>
    <w:p>
      <w:pPr>
        <w:sectPr>
          <w:pgSz w:w="11900" w:h="16868" w:orient="portrait"/>
          <w:cols w:equalWidth="0" w:num="1">
            <w:col w:w="11080"/>
          </w:cols>
          <w:pgMar w:left="460" w:top="217" w:right="359" w:bottom="0" w:gutter="0" w:footer="0" w:header="0"/>
          <w:type w:val="continuous"/>
        </w:sectPr>
      </w:pPr>
    </w:p>
    <w:bookmarkStart w:id="1" w:name="page2"/>
    <w:bookmarkEnd w:id="1"/>
    <w:p>
      <w:pPr>
        <w:ind w:firstLine="2"/>
        <w:spacing w:after="0" w:line="23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(Continuation of the Footnote (2)) One-Third (1/3) of the RSUs granted to the reporting person on September 16, 2024 vested and were delivered to the reporting person on September 16, 2025, the first anniversary of the September 2024 Grant Date, and one-third of the RSUs subject to the grant shall vest, and an equal number of shares of Common Stock will be deliverable to the reporting person, on each of the second and third anniversaries of the September 2024 Grant Date, subject to continued service through each such vesting date. One-Third (1/3) of the RSUs granted to the reporting person on August 1, 2025 shall vest, and an equal number of shares of Common Stock will be deliverable to the reporting person, on each of the first three anniversaries of the August 2025 Grant Date, subject to continued service through each such vesting date.</w:t>
      </w:r>
    </w:p>
    <w:p>
      <w:pPr>
        <w:spacing w:after="0" w:line="28"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 shares were sold in multiple transactions at prices ranging from $3.79 to $3.92.</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 shares were sold in multiple transactions at prices ranging from $3.64 to $3.83.</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 shares were sold in multiple transactions at prices ranging from $3.45 to $3.73.</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was fully exercisable on May 31, 2020.</w:t>
      </w:r>
    </w:p>
    <w:p>
      <w:pPr>
        <w:ind w:left="6560"/>
        <w:spacing w:after="0" w:line="186" w:lineRule="auto"/>
        <w:rPr>
          <w:sz w:val="20"/>
          <w:szCs w:val="20"/>
          <w:color w:val="auto"/>
        </w:rPr>
      </w:pPr>
      <w:r>
        <w:rPr>
          <w:rFonts w:ascii="Times New Roman" w:cs="Times New Roman" w:eastAsia="Times New Roman" w:hAnsi="Times New Roman"/>
          <w:sz w:val="17"/>
          <w:szCs w:val="17"/>
          <w:color w:val="0000FF"/>
        </w:rPr>
        <w:t xml:space="preserve">/s/ Bill Roeschlein, as attorney- </w:t>
      </w:r>
      <w:r>
        <w:rPr>
          <w:rFonts w:ascii="Times New Roman" w:cs="Times New Roman" w:eastAsia="Times New Roman" w:hAnsi="Times New Roman"/>
          <w:sz w:val="33"/>
          <w:szCs w:val="33"/>
          <w:color w:val="0000FF"/>
          <w:vertAlign w:val="subscript"/>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-27305</wp:posOffset>
            </wp:positionV>
            <wp:extent cx="1339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277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-85725</wp:posOffset>
            </wp:positionV>
            <wp:extent cx="485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40" w:firstLine="2"/>
        <w:spacing w:after="0" w:line="336"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084951"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2026-06-03T20:00:41Z</dcterms:created>
  <dcterms:modified xsi:type="dcterms:W3CDTF">2026-06-03T20:00:41Z</dcterms:modified>
</cp:coreProperties>
</file>