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ALON ZVI</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10725 NORTH DE ANZA BLVD</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CUPERTINO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95014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TIGO ENERGY, INC.</w:t>
              </w:r>
            </w:hyperlink>
            <w:r>
              <w:rPr/>
              <w:t xml:space="preserve"> [ </w:t>
            </w:r>
            <w:r>
              <w:rPr>
                <w:rFonts w:ascii="Times;serif" w:hAnsi="Times;serif"/>
                <w:color w:val="0000FF"/>
                <w:sz w:val="24"/>
                <w:shd w:fill="FFFFFF" w:val="clear"/>
              </w:rPr>
              <w:t>TYGO</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CEO / Chairperson</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46"/>
        <w:gridCol w:w="914"/>
        <w:gridCol w:w="784"/>
        <w:gridCol w:w="606"/>
        <w:gridCol w:w="340"/>
        <w:gridCol w:w="957"/>
        <w:gridCol w:w="425"/>
        <w:gridCol w:w="650"/>
        <w:gridCol w:w="1346"/>
        <w:gridCol w:w="967"/>
        <w:gridCol w:w="117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4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3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1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4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5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4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7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4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61,173</w:t>
            </w:r>
            <w:r>
              <w:rPr>
                <w:rFonts w:ascii="Times;serif" w:hAnsi="Times;serif"/>
                <w:color w:val="008000"/>
                <w:position w:val="7"/>
                <w:sz w:val="16"/>
                <w:sz w:val="20"/>
                <w:shd w:fill="FFFFFF" w:val="clear"/>
              </w:rPr>
              <w:t>(1)</w:t>
            </w:r>
          </w:p>
        </w:tc>
        <w:tc>
          <w:tcPr>
            <w:tcW w:w="4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1.91</w:t>
            </w:r>
          </w:p>
        </w:tc>
        <w:tc>
          <w:tcPr>
            <w:tcW w:w="13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1,177,693</w:t>
            </w:r>
            <w:r>
              <w:rPr>
                <w:rFonts w:ascii="Times;serif" w:hAnsi="Times;serif"/>
                <w:color w:val="008000"/>
                <w:position w:val="7"/>
                <w:sz w:val="16"/>
                <w:sz w:val="20"/>
                <w:shd w:fill="FFFFFF" w:val="clear"/>
              </w:rPr>
              <w:t>(2)(3)</w:t>
            </w:r>
          </w:p>
        </w:tc>
        <w:tc>
          <w:tcPr>
            <w:tcW w:w="9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7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4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5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1,774,826</w:t>
            </w:r>
          </w:p>
        </w:tc>
        <w:tc>
          <w:tcPr>
            <w:tcW w:w="9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7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Revocable Trust</w:t>
            </w:r>
          </w:p>
        </w:tc>
      </w:tr>
      <w:tr>
        <w:trPr/>
        <w:tc>
          <w:tcPr>
            <w:tcW w:w="204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5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4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12,689,306</w:t>
            </w:r>
          </w:p>
        </w:tc>
        <w:tc>
          <w:tcPr>
            <w:tcW w:w="96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7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Alon Ventures, LLC</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of common stock, par value $0.0001 per share ("Common Stock") withheld in an exempt disposition to the Issuer under Rule 16b-3(e) to satisfy tax withholding obligations of the reporting person arising out of the vesting of previously reported restricted stock units ("RSUs").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57,971 shares of Common Stock underlying RSUs granted to the reporting person on August 11, 2023 (the "August 2023 Grant Date"), 222,220 shares of Common Stock underlying RSUs granted to the reporting person on September 16, 2024 (the "September 2024 Grant Date"), and 240,458 shares of Common Stock underlying RSU's granted to the reporting person on August 1, 2025 (the "August 2025 Grant Date") in each case, pursuant to the Issuer's 2023 Incentive Plan. One-Third (1/3) of the RSUs initially granted to the reporting person on August 11, 2023 vested and an equal number of shares of Common Stock were delivered to the reporting person on August 11, 2024 and August 11, 2025 and one-third of the RSUs subject to the grant shall vest and be deliverable to the reporting person on the third anniversary of the August 2023 Grant Date, subject to continued service through each such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(Continuation of the Footnote (2)) One-Third (1/3) of the RSUs granted to the reporting person on September 16, 2024 vested and were delivered to the reporting person on September 16, 2025 and one-third of the RSUs subject to the grant shall vest, and an equal number of shares of Common Stock will be deliverable to the reporting person, on each of the second and third anniversaries of the September 2024 Grant Date, subject to continued service through each such vesting date. One-Third (1/3) of the RSUs granted to the reporting person on August 1, 2025 vested and an equal number of shares of Common Stock were delivered to the reporting person on August 1, 2025, and one-third of the RSUs subject to the grant shall vest, and an equal number of shares of Common Stock will be deliverable to the reporting person, on each of the second and third anniversaries of the August 2025 Grant Date, subject to continued service through each such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Bill Roeschlein,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084951" TargetMode="External"/><Relationship Id="rId5" Type="http://schemas.openxmlformats.org/officeDocument/2006/relationships/hyperlink" Target="http://www.sec.gov/cgi-bin/browse-edgar?action=getcompany&amp;CIK=000185544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checked.jpg"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942</Words>
  <Characters>4952</Characters>
  <CharactersWithSpaces>5817</CharactersWithSpaces>
  <Paragraphs>107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