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50502-8k_tigo.htm"/>
      <w:bookmarkStart w:id="1" w:name="ksea02505028k_tig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50729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July 29,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xdx_90F_edei--EntityRegistrantName_c2025"/>
      <w:bookmarkEnd w:id="4"/>
      <w:r>
        <w:rPr>
          <w:rFonts w:ascii="Times New Roman;Times;Serif" w:hAnsi="Times New Roman;Times;Serif"/>
          <w:b/>
          <w:i w:val="false"/>
          <w:caps/>
          <w:sz w:val="20"/>
        </w:rPr>
        <w:t>Tigo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D_edei--EntityFileNumber_c20250729"/>
            <w:bookmarkEnd w:id="6"/>
            <w:r>
              <w:rPr>
                <w:b/>
                <w:sz w:val="20"/>
              </w:rPr>
              <w:t>001-40710</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b/>
                <w:sz w:val="20"/>
              </w:rPr>
            </w:pPr>
            <w:bookmarkStart w:id="7" w:name="xdx_901_edei--EntityTaxIdentificationNum"/>
            <w:bookmarkEnd w:id="7"/>
            <w:r>
              <w:rPr>
                <w:b/>
                <w:sz w:val="20"/>
              </w:rPr>
              <w:t>83-3583873</w:t>
            </w:r>
          </w:p>
        </w:tc>
      </w:tr>
      <w:tr>
        <w:trPr/>
        <w:tc>
          <w:tcPr>
            <w:tcW w:w="2165" w:type="dxa"/>
            <w:tcBorders>
              <w:top w:val="single" w:sz="12" w:space="0" w:color="000000"/>
            </w:tcBorders>
            <w:tcMar>
              <w:top w:w="28"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2210" w:type="dxa"/>
            <w:tcBorders>
              <w:top w:val="single" w:sz="12" w:space="0" w:color="000000"/>
            </w:tcBorders>
            <w:tcMar>
              <w:top w:w="28" w:type="dxa"/>
            </w:tcMar>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1535" w:type="dxa"/>
            <w:tcBorders>
              <w:top w:val="single" w:sz="12" w:space="0" w:color="000000"/>
            </w:tcBorders>
            <w:tcMar>
              <w:top w:w="28"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983 University Avenue, </w:t>
            </w:r>
            <w:bookmarkStart w:id="9" w:name="xdx_905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Los Gatos, </w:t>
            </w:r>
            <w:bookmarkStart w:id="11" w:name="xdx_90B_edei--EntityAddressStateOrProvin"/>
            <w:bookmarkEnd w:id="11"/>
            <w:r>
              <w:rPr>
                <w:rFonts w:ascii="Times New Roman;Times;Serif" w:hAnsi="Times New Roman;Times;Serif"/>
                <w:b/>
                <w:i w:val="false"/>
                <w:caps w:val="false"/>
                <w:smallCaps w:val="false"/>
                <w:sz w:val="20"/>
              </w:rPr>
              <w:t xml:space="preserve">California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b/>
                <w:sz w:val="20"/>
              </w:rPr>
            </w:pPr>
            <w:bookmarkStart w:id="12" w:name="xdx_906_edei--EntityAddressPostalZipCode"/>
            <w:bookmarkEnd w:id="12"/>
            <w:r>
              <w:rPr>
                <w:b/>
                <w:sz w:val="20"/>
              </w:rPr>
              <w:t>95032</w:t>
            </w:r>
          </w:p>
        </w:tc>
      </w:tr>
      <w:tr>
        <w:trPr/>
        <w:tc>
          <w:tcPr>
            <w:tcW w:w="3215" w:type="dxa"/>
            <w:tcBorders>
              <w:top w:val="single" w:sz="12"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top w:val="single" w:sz="12"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50729__20"/>
      <w:bookmarkEnd w:id="13"/>
      <w:r>
        <w:rPr>
          <w:rFonts w:ascii="Times New Roman;Times;Serif" w:hAnsi="Times New Roman;Times;Serif"/>
          <w:b/>
          <w:i w:val="false"/>
          <w:caps w:val="false"/>
          <w:smallCaps w:val="false"/>
          <w:sz w:val="20"/>
        </w:rPr>
        <w:t xml:space="preserve">408) </w:t>
      </w:r>
      <w:bookmarkStart w:id="14" w:name="xdx_909_edei--LocalPhoneNumber_c20250729"/>
      <w:bookmarkEnd w:id="14"/>
      <w:r>
        <w:rPr>
          <w:rFonts w:ascii="Times New Roman;Times;Serif" w:hAnsi="Times New Roman;Times;Serif"/>
          <w:b/>
          <w:i w:val="false"/>
          <w:caps w:val="false"/>
          <w:smallCaps w:val="false"/>
          <w:sz w:val="20"/>
        </w:rPr>
        <w:t>402-0802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A_edei--EntityAddressAddressLine1_"/>
      <w:bookmarkEnd w:id="15"/>
      <w:r>
        <w:rPr>
          <w:rFonts w:ascii="Times New Roman;Times;Serif" w:hAnsi="Times New Roman;Times;Serif"/>
          <w:b/>
          <w:i w:val="false"/>
          <w:caps w:val="false"/>
          <w:smallCaps w:val="false"/>
          <w:sz w:val="20"/>
        </w:rPr>
        <w:t xml:space="preserve">655 Campbell Technology Parkway, </w:t>
      </w:r>
      <w:bookmarkStart w:id="16" w:name="xdx_904_edei--EntityAddressAddressLine2_"/>
      <w:bookmarkEnd w:id="16"/>
      <w:r>
        <w:rPr>
          <w:rFonts w:ascii="Times New Roman;Times;Serif" w:hAnsi="Times New Roman;Times;Serif"/>
          <w:b/>
          <w:i w:val="false"/>
          <w:caps w:val="false"/>
          <w:smallCaps w:val="false"/>
          <w:sz w:val="20"/>
        </w:rPr>
        <w:t>Suite 150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0_edei--EntityAddressCityOrTown_c2"/>
      <w:bookmarkEnd w:id="17"/>
      <w:r>
        <w:rPr>
          <w:rFonts w:ascii="Times New Roman;Times;Serif" w:hAnsi="Times New Roman;Times;Serif"/>
          <w:b/>
          <w:i w:val="false"/>
          <w:caps w:val="false"/>
          <w:smallCaps w:val="false"/>
          <w:sz w:val="20"/>
        </w:rPr>
        <w:t xml:space="preserve">Campbell, </w:t>
      </w:r>
      <w:bookmarkStart w:id="18" w:name="xdx_90B_edei--EntityAddressStateOrProvin"/>
      <w:bookmarkEnd w:id="18"/>
      <w:r>
        <w:rPr>
          <w:rFonts w:ascii="Times New Roman;Times;Serif" w:hAnsi="Times New Roman;Times;Serif"/>
          <w:b/>
          <w:i w:val="false"/>
          <w:caps w:val="false"/>
          <w:smallCaps w:val="false"/>
          <w:sz w:val="20"/>
        </w:rPr>
        <w:t xml:space="preserve">California </w:t>
      </w:r>
      <w:bookmarkStart w:id="19" w:name="xdx_906_edei--EntityAddressPostalZipCode"/>
      <w:bookmarkEnd w:id="19"/>
      <w:r>
        <w:rPr>
          <w:rFonts w:ascii="Times New Roman;Times;Serif" w:hAnsi="Times New Roman;Times;Serif"/>
          <w:b/>
          <w:i w:val="false"/>
          <w:caps w:val="false"/>
          <w:smallCaps w:val="false"/>
          <w:sz w:val="20"/>
        </w:rPr>
        <w:t>95008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bookmarkStart w:id="20" w:name="xdx_909_edei--WrittenCommunications_c202"/>
            <w:bookmarkEnd w:id="20"/>
            <w:r>
              <w:rPr/>
              <w:t>☐</w:t>
            </w:r>
          </w:p>
        </w:tc>
        <w:tc>
          <w:tcPr>
            <w:tcW w:w="7220" w:type="dxa"/>
            <w:tcBorders/>
            <w:vAlign w:val="center"/>
          </w:tcPr>
          <w:p>
            <w:pPr>
              <w:pStyle w:val="TableContents"/>
              <w:bidi w:val="0"/>
              <w:spacing w:before="0" w:after="283"/>
              <w:jc w:val="both"/>
              <w:rPr>
                <w:sz w:val="20"/>
              </w:rPr>
            </w:pPr>
            <w:r>
              <w:rPr>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21" w:name="xdx_90B_edei--SolicitingMaterial_c202507"/>
            <w:bookmarkEnd w:id="21"/>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2" w:name="xdx_905_edei--PreCommencementTenderOffer"/>
            <w:bookmarkEnd w:id="22"/>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pPr>
            <w:bookmarkStart w:id="23" w:name="xdx_90B_edei--PreCommencementIssuerTende"/>
            <w:bookmarkEnd w:id="23"/>
            <w:r>
              <w:rPr/>
              <w:t>☐</w:t>
            </w:r>
          </w:p>
        </w:tc>
        <w:tc>
          <w:tcPr>
            <w:tcW w:w="9080" w:type="dxa"/>
            <w:tcBorders/>
            <w:vAlign w:val="center"/>
          </w:tcPr>
          <w:p>
            <w:pPr>
              <w:pStyle w:val="TableContents"/>
              <w:bidi w:val="0"/>
              <w:spacing w:before="0" w:after="283"/>
              <w:jc w:val="both"/>
              <w:rPr>
                <w:sz w:val="20"/>
              </w:rPr>
            </w:pPr>
            <w:r>
              <w:rPr>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785"/>
        <w:gridCol w:w="60"/>
        <w:gridCol w:w="1490"/>
        <w:gridCol w:w="60"/>
        <w:gridCol w:w="3710"/>
      </w:tblGrid>
      <w:tr>
        <w:trPr/>
        <w:tc>
          <w:tcPr>
            <w:tcW w:w="3785"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785"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24" w:name="xdx_90F_edei--Security12bTitle_c20250729"/>
            <w:bookmarkEnd w:id="24"/>
            <w:r>
              <w:rPr>
                <w:b/>
                <w:sz w:val="20"/>
              </w:rPr>
              <w:t>Common Stock, par value $0.0001 per share</w:t>
            </w:r>
          </w:p>
        </w:tc>
        <w:tc>
          <w:tcPr>
            <w:tcW w:w="60" w:type="dxa"/>
            <w:tcBorders/>
            <w:shd w:fill="CCEEFF" w:val="clear"/>
            <w:vAlign w:val="center"/>
          </w:tcPr>
          <w:p>
            <w:pPr>
              <w:pStyle w:val="TableContents"/>
              <w:bidi w:val="0"/>
              <w:spacing w:before="0" w:after="283"/>
              <w:jc w:val="left"/>
              <w:rPr/>
            </w:pPr>
            <w:r>
              <w:rPr/>
              <w:t> </w:t>
            </w:r>
          </w:p>
        </w:tc>
        <w:tc>
          <w:tcPr>
            <w:tcW w:w="1490"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25" w:name="xdx_905_edei--TradingSymbol_c20250729__2"/>
            <w:bookmarkEnd w:id="25"/>
            <w:r>
              <w:rPr>
                <w:b/>
                <w:sz w:val="20"/>
              </w:rPr>
              <w:t>TYGO</w:t>
            </w:r>
          </w:p>
        </w:tc>
        <w:tc>
          <w:tcPr>
            <w:tcW w:w="60" w:type="dxa"/>
            <w:tcBorders/>
            <w:shd w:fill="CCEEFF" w:val="clear"/>
            <w:vAlign w:val="center"/>
          </w:tcPr>
          <w:p>
            <w:pPr>
              <w:pStyle w:val="TableContents"/>
              <w:bidi w:val="0"/>
              <w:spacing w:before="0" w:after="283"/>
              <w:jc w:val="left"/>
              <w:rPr/>
            </w:pPr>
            <w:r>
              <w:rPr/>
              <w:t> </w:t>
            </w:r>
          </w:p>
        </w:tc>
        <w:tc>
          <w:tcPr>
            <w:tcW w:w="3710" w:type="dxa"/>
            <w:tcBorders>
              <w:top w:val="single" w:sz="12" w:space="0" w:color="000000"/>
            </w:tcBorders>
            <w:shd w:fill="CCEEFF" w:val="clear"/>
            <w:tcMar>
              <w:top w:w="28" w:type="dxa"/>
            </w:tcMar>
            <w:vAlign w:val="center"/>
          </w:tcPr>
          <w:p>
            <w:pPr>
              <w:pStyle w:val="TableContents"/>
              <w:bidi w:val="0"/>
              <w:spacing w:before="0" w:after="283"/>
              <w:jc w:val="center"/>
              <w:rPr>
                <w:b/>
                <w:sz w:val="20"/>
              </w:rPr>
            </w:pPr>
            <w:r>
              <w:rPr>
                <w:b/>
                <w:sz w:val="20"/>
              </w:rPr>
              <w:t xml:space="preserve">The </w:t>
            </w:r>
            <w:bookmarkStart w:id="26" w:name="xdx_90C_edei--SecurityExchangeName_c2025"/>
            <w:bookmarkEnd w:id="26"/>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E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D_edei--EntityExTransitionPeriod_c"/>
      <w:bookmarkEnd w:id="28"/>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Tigo Energy, Inc. (the “Company”) reported its earnings for its second fiscal quarter ended June 30, 2025. A copy of the Company’s press release containing this information is furnished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is being furnished and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making reference to non-GAAP financial measures in the press release. A reconciliation of these non-GAAP financial measures to the comparable GAAP financial measures is contained in the attached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360" w:right="0" w:hanging="360"/>
        <w:jc w:val="left"/>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1400"/>
        <w:gridCol w:w="60"/>
        <w:gridCol w:w="6530"/>
      </w:tblGrid>
      <w:tr>
        <w:trPr/>
        <w:tc>
          <w:tcPr>
            <w:tcW w:w="140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40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both"/>
              <w:rPr/>
            </w:pPr>
            <w:hyperlink w:anchor="ea025050201ex99-1_tigo.htm">
              <w:r>
                <w:rPr>
                  <w:rStyle w:val="InternetLink"/>
                  <w:sz w:val="20"/>
                </w:rPr>
                <w:t>Press Release of Tigo Energy, Inc., dated July 29, 2025.</w:t>
              </w:r>
            </w:hyperlink>
          </w:p>
        </w:tc>
      </w:tr>
      <w:tr>
        <w:trPr/>
        <w:tc>
          <w:tcPr>
            <w:tcW w:w="1400"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29, 2025</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b/>
                <w:sz w:val="20"/>
              </w:rPr>
            </w:pPr>
            <w:r>
              <w:rPr>
                <w:b/>
                <w:sz w:val="20"/>
              </w:rPr>
              <w:t>TIGO ENERGY, INC.</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pPr>
            <w:r>
              <w:rPr/>
              <w:t>/s/ 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5050201ex99-1_tigo.htm"/>
      <w:bookmarkStart w:id="30" w:name="ksea025050201ex991_tigo"/>
      <w:bookmarkEnd w:id="29"/>
      <w:bookmarkEnd w:id="30"/>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 xml:space="preserve">Tigo Energy Reports Second Quarter 2025 </w:t>
        <w:br/>
        <w:t>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CAMPBELL, Calif. – July 29, 2025 – </w:t>
      </w:r>
      <w:r>
        <w:rPr>
          <w:rFonts w:ascii="Times New Roman;Times;Serif" w:hAnsi="Times New Roman;Times;Serif"/>
          <w:b/>
          <w:i w:val="false"/>
          <w:caps w:val="false"/>
          <w:smallCaps w:val="false"/>
          <w:sz w:val="20"/>
          <w:shd w:fill="FEFEFE" w:val="clear"/>
        </w:rPr>
        <w:t>Tigo Energy, Inc.</w:t>
      </w:r>
      <w:r>
        <w:rPr>
          <w:rFonts w:ascii="Times New Roman;Times;Serif" w:hAnsi="Times New Roman;Times;Serif"/>
          <w:b/>
          <w:i w:val="false"/>
          <w:caps w:val="false"/>
          <w:smallCaps w:val="false"/>
          <w:sz w:val="20"/>
        </w:rPr>
        <w:t xml:space="preserve"> (NASDAQ: TYGO) (“Tigo”, or the “Company”),</w:t>
      </w:r>
      <w:r>
        <w:rPr>
          <w:rFonts w:ascii="Times New Roman;Times;Serif" w:hAnsi="Times New Roman;Times;Serif"/>
          <w:b w:val="false"/>
          <w:i w:val="false"/>
          <w:caps w:val="false"/>
          <w:smallCaps w:val="false"/>
          <w:sz w:val="20"/>
        </w:rPr>
        <w:t xml:space="preserve"> a leading provider of intelligent solar and energy software solutions, today reported unaudited financial results for the second quarter ended June 30, 2025, financial guidance for the third quarter ending September 30, 2025 and increased financial guidance for a full year 2025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Recent Financial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for the second quarter of 2025 of $24.1 million, up 89.4% compared to the second quarter of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for the second quarter of 2025 of $4.4 million, compared to a net loss of $11.3 million in the second quarter of 2024.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for the second quarter of 2025 of $1.1 million compared to an Adjusted EBITDA loss of $6.4 million in the second quarter of 2024.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cash equivalents, and marketable securities of $28.0 million at June 30, 2025, a sequential increase of $7.7 million from the first quarter of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second quarter of 2025, we shipped 646 thousand units, or 477 MW, of MLPE.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 xml:space="preserve">We are pleased to report a 27.7% sequential increase in quarterly revenues, our sixth in a row, which exceeded the high-end of our guidance,” </w:t>
      </w:r>
      <w:r>
        <w:rPr>
          <w:rFonts w:ascii="Times New Roman;Times;Serif" w:hAnsi="Times New Roman;Times;Serif"/>
          <w:b/>
          <w:i w:val="false"/>
          <w:caps w:val="false"/>
          <w:smallCaps w:val="false"/>
          <w:sz w:val="20"/>
          <w:shd w:fill="FEFEFE" w:val="clear"/>
        </w:rPr>
        <w:t>said Zvi Alon, Chairman and CEO of Tigo</w:t>
      </w:r>
      <w:r>
        <w:rPr>
          <w:rFonts w:ascii="Times New Roman;Times;Serif" w:hAnsi="Times New Roman;Times;Serif"/>
          <w:b w:val="false"/>
          <w:i w:val="false"/>
          <w:caps w:val="false"/>
          <w:smallCaps w:val="false"/>
          <w:sz w:val="20"/>
          <w:shd w:fill="FEFEFE" w:val="clear"/>
        </w:rPr>
        <w:t>. “This performance underscores our ability to gain market share in this challenging environment, driven by strong demand for our innovative MLPE products. Looking ahead, the existing backlog and bookings that are expected to ship in the third quarter currently exceeds our revenue results for the second quarter and we are actively working to restock inventories and ramp capacity in response to increased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During the second quarter, we saw strong sequential growth in the EMEA region, which comprised 76% of our total revenue in the quarter, along with flat but stable results from the US, which comprised 17% of our total revenue in the quarter. We expect that our geographical and manufacturing diversification will continue to minimize our exposure to current tariff headwinds in the industry, while continuing to perform at a competitive level in the 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 xml:space="preserve">During the second quarter, our cash balance grew by $7.7 million, and we outperformed our guidance range for the second quarter, culminating in a return to adjusted EBITDA profitability,” </w:t>
      </w:r>
      <w:r>
        <w:rPr>
          <w:rFonts w:ascii="Times New Roman;Times;Serif" w:hAnsi="Times New Roman;Times;Serif"/>
          <w:b/>
          <w:i w:val="false"/>
          <w:caps w:val="false"/>
          <w:smallCaps w:val="false"/>
          <w:sz w:val="20"/>
          <w:shd w:fill="FEFEFE" w:val="clear"/>
        </w:rPr>
        <w:t>stated Bill Roeschlein, Chief Financial Officer of Tigo</w:t>
      </w:r>
      <w:r>
        <w:rPr>
          <w:rFonts w:ascii="Times New Roman;Times;Serif" w:hAnsi="Times New Roman;Times;Serif"/>
          <w:b w:val="false"/>
          <w:i w:val="false"/>
          <w:caps w:val="false"/>
          <w:smallCaps w:val="false"/>
          <w:sz w:val="20"/>
          <w:shd w:fill="FEFEFE" w:val="clear"/>
        </w:rPr>
        <w:t xml:space="preserve">. “Based on our current demand forecast, we are raising our 2025 financial outlook for full year revenue to be between $100 million and $105 million dollars.”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Second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Results compare the 2025 fiscal second quarter ended June 30, 2025 to the 2024 fiscal second quarter ended June 30, 2024, unless otherwise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Revenues totaled $24.1 million, an 89.4% increase from $12.7 million. On a sequential quarter basis, revenues increased by 27.7% compared to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totaled $10.8 million, or 44.7% of net revenue, compared to gross profit of $3.9 million, or 30.4% of net revenue.</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11715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1575" cy="504825"/>
                    </a:xfrm>
                    <a:prstGeom prst="rect">
                      <a:avLst/>
                    </a:prstGeom>
                  </pic:spPr>
                </pic:pic>
              </a:graphicData>
            </a:graphic>
          </wp:inline>
        </w:drawing>
      </w:r>
    </w:p>
    <w:p>
      <w:pPr>
        <w:pStyle w:val="TextBody"/>
        <w:bidi w:val="0"/>
        <w:spacing w:before="0" w:after="283"/>
        <w:jc w:val="left"/>
        <w:rPr/>
      </w:pPr>
      <w:r>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 totaled $12.3 million, flat compared to the prior year comparable period.</w:t>
            </w:r>
          </w:p>
        </w:tc>
      </w:tr>
    </w:tbl>
    <w:p>
      <w:pPr>
        <w:pStyle w:val="TextBody"/>
        <w:bidi w:val="0"/>
        <w:spacing w:before="0" w:after="283"/>
        <w:jc w:val="left"/>
        <w:rPr/>
      </w:pPr>
      <w:r>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totaled $4.4 million, a 60.9% decrease compared to a net loss of $11.3 million.</w:t>
            </w:r>
          </w:p>
        </w:tc>
      </w:tr>
    </w:tbl>
    <w:p>
      <w:pPr>
        <w:pStyle w:val="TextBody"/>
        <w:bidi w:val="0"/>
        <w:spacing w:before="0" w:after="283"/>
        <w:jc w:val="left"/>
        <w:rPr/>
      </w:pPr>
      <w:r>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pPr>
            <w:r>
              <w:rPr>
                <w:rFonts w:ascii="Times New Roman;Times;Serif" w:hAnsi="Times New Roman;Times;Serif"/>
                <w:shd w:fill="FEFEFE" w:val="clear"/>
              </w:rPr>
              <w:t xml:space="preserve">Adjusted </w:t>
            </w:r>
            <w:r>
              <w:rPr>
                <w:rFonts w:ascii="Times New Roman;Times;Serif" w:hAnsi="Times New Roman;Times;Serif"/>
              </w:rPr>
              <w:t xml:space="preserve">EBITDA </w:t>
            </w:r>
            <w:r>
              <w:rPr>
                <w:rFonts w:ascii="Times New Roman;Times;Serif" w:hAnsi="Times New Roman;Times;Serif"/>
                <w:shd w:fill="FEFEFE" w:val="clear"/>
              </w:rPr>
              <w:t>totaled $1.1 million, compared to an adjusted EBITDA loss of $6.4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Third Quarter 2025 Financial Guidance and Full Year 2025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guidance for the third quarter ending September 30, 2025 as follows:</w:t>
      </w:r>
    </w:p>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Revenues are expected to be within the range of $29 million to $31 million.</w:t>
            </w:r>
          </w:p>
        </w:tc>
      </w:tr>
    </w:tbl>
    <w:p>
      <w:pPr>
        <w:pStyle w:val="TextBody"/>
        <w:bidi w:val="0"/>
        <w:spacing w:before="0" w:after="283"/>
        <w:jc w:val="left"/>
        <w:rPr/>
      </w:pPr>
      <w:r>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is expected to be within the range of $2.0 million to $4.0 million.</w:t>
            </w:r>
          </w:p>
        </w:tc>
      </w:tr>
    </w:tbl>
    <w:p>
      <w:pPr>
        <w:pStyle w:val="TextBody"/>
        <w:bidi w:val="0"/>
        <w:spacing w:before="0" w:after="283"/>
        <w:jc w:val="left"/>
        <w:rPr/>
      </w:pPr>
      <w:r>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GAAP operating profit at the high end of the Adjusted EBITDA guidance range.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2025, the Company anticipates revenues to be between $100 million and $105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Actual results may differ materially from the Company’s guidance as a result of, among other things, the factors described below under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Tigo management will hold a conference call today, July 29, 2025, at 4:30 p.m. Eastern Time (1:30 p.m. Pacific Time) to discuss these results. Company CEO Zvi Alon and CFO Bill Roeschlein will host the call, followed by a question-and-answer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Link Conference Call: </w:t>
      </w:r>
      <w:r>
        <w:rPr>
          <w:rFonts w:ascii="Times New Roman;Times;Serif" w:hAnsi="Times New Roman;Times;Serif"/>
          <w:b w:val="false"/>
          <w:i w:val="false"/>
          <w:caps w:val="false"/>
          <w:smallCaps w:val="false"/>
          <w:sz w:val="20"/>
        </w:rPr>
        <w:t>Click here to register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Link:</w:t>
      </w:r>
      <w:r>
        <w:rPr>
          <w:rFonts w:ascii="Times New Roman;Times;Serif" w:hAnsi="Times New Roman;Times;Serif"/>
          <w:b w:val="false"/>
          <w:i w:val="false"/>
          <w:caps w:val="false"/>
          <w:smallCaps w:val="false"/>
          <w:sz w:val="20"/>
        </w:rPr>
        <w:t xml:space="preserve"> Click here to join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online at least 10 minutes prior to the start time. If you have any difficulty with registration or connecting to the conference call, please contact Gateway Group at (949) 574-3860.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will also be available for replay here and via the Investor Relations section of Tigo’s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Upcoming Investor Conference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Gateway Conference 2025</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Date: September 3-4, 2025</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Location: Four Seasons Hotel San Francisco, 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H.C. Wainwright 27th Annual Global Investment Conference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Date: September 8-10, 2025</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Location: Lotte New York Palace Hotel,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About Tigo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EFEFE" w:val="clear"/>
        </w:rPr>
        <w:t xml:space="preserve">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t>
      </w:r>
      <w:r>
        <w:rPr>
          <w:rFonts w:ascii="Times New Roman;Times;Serif" w:hAnsi="Times New Roman;Times;Serif"/>
          <w:b w:val="false"/>
          <w:i w:val="false"/>
          <w:caps w:val="false"/>
          <w:smallCaps w:val="false"/>
          <w:sz w:val="20"/>
        </w:rPr>
        <w:t>www.tigoenergy.com</w:t>
      </w:r>
      <w:r>
        <w:rPr>
          <w:rFonts w:ascii="Times New Roman;Times;Serif" w:hAnsi="Times New Roman;Times;Serif"/>
          <w:b w:val="false"/>
          <w:i w:val="false"/>
          <w:caps w:val="false"/>
          <w:smallCaps w:val="false"/>
          <w:sz w:val="20"/>
          <w:shd w:fill="FEFEFE"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Such statements include, but are not limited to, statements about our ability to increase our revenues and achieve and maintain profitability, our overall long-term growth prospects, expectations regarding a continued recovery in our industry, current and future inventory levels, inventory supply and its impact on our customer shipments, statements about our revenue, adjusted EBITDA and GAAP operating results for the third fiscal quarter 2025 and our revenue and adjusted EBITDA for the full fiscal year 2025, statements about our existing backlog and bookings, statements about our ability to restock inventories and increase our capacity in response to increased demand, statements about demand for our products, our competitive position, the impact of tariffs, and our ability to penetrate new markets and expand our market share, including expansion in international markets, our continued expansion of and investments in our product portfolio, and future financial and operating results, our plans, objectives, expectations and intentions with respect to future operations, products and services; and other statements identified by words such as “will likely result,” “are expected to,” “will continue,” “will allow us to” “is anticipated,” “estimated,” “expected”, “believe,” “intend,” “plan,” “projection,” “outlook” or words of similar meaning. These forward-looking statements are based upon the current beliefs and expectations of Tigo’s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addition to factors previously disclosed, or that will be disclosed in, our reports filed with the SEC, factors which may cause actual results to differ materially from current expectations include, but are not limited to, our capital requirements and our ability to meet our future liquidity requirements and continue as a going concern; our indebtedness and liabilities and our ability to pay amounts when due under our existing indebtedness; our ability to effectively develop and sell our product offerings and services, </w:t>
      </w:r>
      <w:r>
        <w:rPr>
          <w:rFonts w:ascii="Times New Roman;Times;Serif" w:hAnsi="Times New Roman;Times;Serif"/>
          <w:b w:val="false"/>
          <w:i w:val="false"/>
          <w:caps w:val="false"/>
          <w:smallCaps w:val="false"/>
          <w:sz w:val="20"/>
        </w:rPr>
        <w:t>our ability to </w:t>
      </w:r>
      <w:r>
        <w:rPr>
          <w:rFonts w:ascii="Times New Roman;Times;Serif" w:hAnsi="Times New Roman;Times;Serif"/>
          <w:b w:val="false"/>
          <w:i/>
          <w:caps w:val="false"/>
          <w:smallCaps w:val="false"/>
          <w:sz w:val="20"/>
        </w:rPr>
        <w:t xml:space="preserve">compete in the highly-competitive and evolving solar industry; our failure to meet the continued listing requirements of Nasdaq which could result in a delisting of our securities; our ability to manage risks associated with U.S. and global geopolitical and macroeconomic conditions including the potential softening of the economy, seasonal trends and the cyclical nature of the solar industry, including any periods of prolonged downturn; whether we continue to grow our customer base and expand our market share; whether we continue to develop new products and innovations to meet constantly evolving customer demands; the timing and level of demand for our solar energy solutions; changes in government subsidies and economic incentives, including tax incentives, for solar energy solutions; trade tariffs and other trade barriers that could directly affect us, our customers and the solar industry; our ability to forecast our customer demand and manufacturing requirements, and manage our inventory; our ability to acquire or make investments in other businesses, patents, technologies, products or services to grow the business and realize the anticipated benefits therefrom; our ability to respond to fluctuations in foreign currency exchange rates and political unrest and regulatory changes in the U.S. and international markets into which we expand or otherwise operate in; our failure to attract, hire retain and train highly qualified personnel in the future; and if we are unable to maintain key strategic relationships with our partners and distributors.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Actual results, performance or achievements may differ materially, and potentially adversely, from any projections and forward-looking statements and the assumptions on which those forward-looking statements are based. There can be no assurance that the forward-looking statements contained herein are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new information, future developments or otherwise occurring after the date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EFEFE" w:val="clear"/>
        </w:rPr>
      </w:pPr>
      <w:r>
        <w:rPr>
          <w:rFonts w:ascii="Times New Roman;Times;Serif" w:hAnsi="Times New Roman;Times;Serif"/>
          <w:b/>
          <w:i/>
          <w:caps w:val="false"/>
          <w:smallCaps w:val="false"/>
          <w:sz w:val="20"/>
          <w:shd w:fill="FEFEFE" w:val="clear"/>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To supplement our condensed consolidated financial statements, which are prepared and presented in accordance with GAAP, we use the following non-GAAP financial measure: adjusted EBITDA. The presentation of these financial measures is not intended to be considered in isolation or as a substitute for, or superior to, the financial information prepared and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use adjusted EBITDA for financial and operational decision-making and as a means to evaluate period-to-period comparisons. We define adjusted EBITDA, a non-GAAP financial measure, as earnings (loss) before interest and other expenses, net, income tax expense (benefit), depreciation and amortization, as adjusted to exclude stock-based compensation and merger transaction related expenses. We believe that adjusted EBITDA provides helpful supplemental information regarding our performance by excluding certain items that may not be indicative of our core business operating results. We believe that both management and investors benefit from referring to adjusted EBITDA in assessing our performance and when planning, forecasting, and analyzing future periods. Adjusted EBITDA also facilitates management’s internal comparisons to our historical performance and comparisons to our competitors’ operating results. We believe adjusted EBITDA is useful to investors both because they (i) allow for greater transparency with respect to key metrics used by management in its financial and operational decision-making and (ii) are used by our institutional investors and the analyst community to help them analyze the health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items excluded from adjusted EBITDA may have a material impact on our financial results. Certain of those items are non-recurring, while others are non-cash in nature. Accordingly, adjusted EBITDA is presented as supplemental disclosure and should not be considered in isolation of, as a substitute for, or superior to, the financial information prepared in accordance with GAAP.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are a number of limitations related to the use of non-GAAP financial measures. We compensate for these limitations by providing specific information regarding the GAAP amounts excluded from these non-GAAP financial measures and evaluating these non-GAAP financial measures together with their relevant financial measures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refer investors to the reconciliation adjusted EBITDA to net income (loss) included below. A reconciliation for adjusted EBITDA provided as guidance is not provided because, as a forward-looking statement, such reconciliation is not available without unreasonable effort due to the high variability, complexity, and difficulty of estimating certain items such as charges to stock-based compensation expense and currency fluctuations which could have an impact on our consolidated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Investor Relations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Ralf Esper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 Inc.</w:t>
        <w:br/>
        <w:t>(949) 574-3860</w:t>
        <w:br/>
        <w:t>TYGO@gateway-grp.com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255" w:type="dxa"/>
        <w:jc w:val="left"/>
        <w:tblInd w:w="0" w:type="dxa"/>
        <w:tblLayout w:type="fixed"/>
        <w:tblCellMar>
          <w:top w:w="0" w:type="dxa"/>
          <w:left w:w="0" w:type="dxa"/>
          <w:bottom w:w="0" w:type="dxa"/>
          <w:right w:w="0" w:type="dxa"/>
        </w:tblCellMar>
      </w:tblPr>
      <w:tblGrid>
        <w:gridCol w:w="6500"/>
        <w:gridCol w:w="60"/>
        <w:gridCol w:w="140"/>
        <w:gridCol w:w="875"/>
        <w:gridCol w:w="95"/>
        <w:gridCol w:w="60"/>
        <w:gridCol w:w="195"/>
        <w:gridCol w:w="1220"/>
        <w:gridCol w:w="110"/>
      </w:tblGrid>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center"/>
              <w:rPr/>
            </w:pPr>
            <w:r>
              <w:rPr/>
              <w:t> </w:t>
            </w:r>
          </w:p>
        </w:tc>
        <w:tc>
          <w:tcPr>
            <w:tcW w:w="10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650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11,746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Marketable securities, short-term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8,156</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7,976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21,997</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3,533</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53,408</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2,812</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Operating right of 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1,576</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1,922</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984</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12,209</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80,645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72,911</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center"/>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8,077</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Short-term debt, net of unamortized debt discount and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525</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Warranty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649</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17,108</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Warranty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5,302</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644</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Long-term debt, net of unamortized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40,511</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961</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78,953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64,526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146,903</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(138,526</w:t>
            </w:r>
          </w:p>
        </w:tc>
        <w:tc>
          <w:tcPr>
            <w:tcW w:w="110" w:type="dxa"/>
            <w:tcBorders/>
            <w:shd w:fill="CCEEFF" w:val="clear"/>
            <w:vAlign w:val="center"/>
          </w:tcPr>
          <w:p>
            <w:pPr>
              <w:pStyle w:val="TableContents"/>
              <w:bidi w:val="0"/>
              <w:spacing w:before="0" w:after="283"/>
              <w:jc w:val="left"/>
              <w:rPr/>
            </w:pPr>
            <w:r>
              <w:rPr/>
              <w:t>)</w:t>
            </w:r>
          </w:p>
        </w:tc>
      </w:tr>
      <w:tr>
        <w:trPr/>
        <w:tc>
          <w:tcPr>
            <w:tcW w:w="650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8,385</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80,645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72,911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22,503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15,870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6,633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5,175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8,658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10,291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24,124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(17,491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Other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Change in fair value of contingent shares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(213</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5,320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(22,811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(11,431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(22,827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(0.38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62,290,411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60,363,680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61,977,574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59,874,991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62,290,411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60,363,680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61,977,574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59,874,991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966" w:type="dxa"/>
        <w:jc w:val="left"/>
        <w:tblInd w:w="0" w:type="dxa"/>
        <w:tblLayout w:type="fixed"/>
        <w:tblCellMar>
          <w:top w:w="0" w:type="dxa"/>
          <w:left w:w="0" w:type="dxa"/>
          <w:bottom w:w="0" w:type="dxa"/>
          <w:right w:w="0" w:type="dxa"/>
        </w:tblCellMar>
      </w:tblPr>
      <w:tblGrid>
        <w:gridCol w:w="6830"/>
        <w:gridCol w:w="60"/>
        <w:gridCol w:w="141"/>
        <w:gridCol w:w="764"/>
        <w:gridCol w:w="96"/>
        <w:gridCol w:w="60"/>
        <w:gridCol w:w="141"/>
        <w:gridCol w:w="764"/>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(11,431</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(22,827</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642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612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Provision to write down inventories to net realizable value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98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458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 in fair value of contingent shares liability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4,470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4,470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3,876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4,208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(125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(1,434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508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Accretion of interest on marketable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(253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(163</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(2,294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1,379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2,972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9,632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444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687</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6,149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(8,392</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(538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(1,648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453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178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2,329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(341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(641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7,242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(12,872</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Purchase of marketable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(19,025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(243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Sales and maturities of marketable securities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9,625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23,768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(9,643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23,350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97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260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at-the-market offering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773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Payment of tax withholdings on restricted stock awards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867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260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(1,534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10,738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4,405</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10,212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15,143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623" w:type="dxa"/>
        <w:jc w:val="left"/>
        <w:tblInd w:w="0" w:type="dxa"/>
        <w:tblLayout w:type="fixed"/>
        <w:tblCellMar>
          <w:top w:w="0" w:type="dxa"/>
          <w:left w:w="0" w:type="dxa"/>
          <w:bottom w:w="0" w:type="dxa"/>
          <w:right w:w="0" w:type="dxa"/>
        </w:tblCellMar>
      </w:tblPr>
      <w:tblGrid>
        <w:gridCol w:w="4085"/>
        <w:gridCol w:w="60"/>
        <w:gridCol w:w="174"/>
        <w:gridCol w:w="789"/>
        <w:gridCol w:w="118"/>
        <w:gridCol w:w="74"/>
        <w:gridCol w:w="174"/>
        <w:gridCol w:w="939"/>
        <w:gridCol w:w="95"/>
        <w:gridCol w:w="60"/>
        <w:gridCol w:w="140"/>
        <w:gridCol w:w="755"/>
        <w:gridCol w:w="95"/>
        <w:gridCol w:w="60"/>
        <w:gridCol w:w="140"/>
        <w:gridCol w:w="755"/>
        <w:gridCol w:w="110"/>
      </w:tblGrid>
      <w:tr>
        <w:trPr/>
        <w:tc>
          <w:tcPr>
            <w:tcW w:w="40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Net loss - (GAAP)</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(4,430</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(11,321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(22,827</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2,768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5,320</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158</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285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612</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FFFFFF" w:val="clear"/>
            <w:tcMar>
              <w:bottom w:w="28" w:type="dxa"/>
            </w:tcMar>
            <w:vAlign w:val="center"/>
          </w:tcPr>
          <w:p>
            <w:pPr>
              <w:pStyle w:val="TableContents"/>
              <w:bidi w:val="0"/>
              <w:spacing w:before="0" w:after="283"/>
              <w:jc w:val="right"/>
              <w:rPr/>
            </w:pPr>
            <w:r>
              <w:rPr/>
              <w:t>2,300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4,208</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Adjusted EBITDA (loss) - (Non-GAAP)</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9" w:type="dxa"/>
            <w:tcBorders>
              <w:bottom w:val="double" w:sz="10" w:space="0" w:color="000000"/>
            </w:tcBorders>
            <w:shd w:fill="CCEEFF" w:val="clear"/>
            <w:tcMar>
              <w:bottom w:w="28" w:type="dxa"/>
            </w:tcMar>
            <w:vAlign w:val="center"/>
          </w:tcPr>
          <w:p>
            <w:pPr>
              <w:pStyle w:val="TableContents"/>
              <w:bidi w:val="0"/>
              <w:spacing w:before="0" w:after="283"/>
              <w:jc w:val="right"/>
              <w:rPr/>
            </w:pPr>
            <w:r>
              <w:rPr/>
              <w:t>1,081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(6,398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(12,671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investors and others to review our financial information in its entirety and not to rely on any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3449</Words>
  <Characters>19193</Characters>
  <CharactersWithSpaces>23015</CharactersWithSpaces>
  <Paragraphs>1556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