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SCHEDULE TO</w:t>
      </w:r>
    </w:p>
    <w:p>
      <w:pPr>
        <w:spacing w:after="0" w:line="3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3"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3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203"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(Name of Filing Person (Offeror))</w:t>
      </w:r>
    </w:p>
    <w:p>
      <w:pPr>
        <w:spacing w:after="0" w:line="203"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Options To Purchase Common Stock, Par Value $0.0001 Per Share</w:t>
      </w:r>
    </w:p>
    <w:p>
      <w:pPr>
        <w:spacing w:after="0" w:line="3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77867P104</w:t>
      </w:r>
    </w:p>
    <w:p>
      <w:pPr>
        <w:spacing w:after="0" w:line="3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3"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Bill Roeschlein</w:t>
      </w:r>
    </w:p>
    <w:p>
      <w:pPr>
        <w:spacing w:after="0" w:line="3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9"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655 Campbell Technology Parkway, Suite 150</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Campbell, CA 95008</w:t>
      </w:r>
    </w:p>
    <w:p>
      <w:pPr>
        <w:spacing w:after="0" w:line="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(408) 402-0802</w:t>
      </w:r>
    </w:p>
    <w:p>
      <w:pPr>
        <w:spacing w:after="0" w:line="9"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the Filing Person)</w:t>
      </w:r>
    </w:p>
    <w:p>
      <w:pPr>
        <w:spacing w:after="0" w:line="214" w:lineRule="exact"/>
        <w:rPr>
          <w:sz w:val="24"/>
          <w:szCs w:val="24"/>
          <w:color w:val="auto"/>
        </w:rPr>
      </w:pPr>
    </w:p>
    <w:tbl>
      <w:tblPr>
        <w:tblLayout w:type="fixed"/>
        <w:tblInd w:w="180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50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10"/>
        </w:trPr>
        <w:tc>
          <w:tcPr>
            <w:tcW w:w="274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Laura Katherine Mann</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8"/>
              </w:rPr>
              <w:t>Joel Rubinstein</w:t>
            </w:r>
          </w:p>
        </w:tc>
      </w:tr>
      <w:tr>
        <w:trPr>
          <w:trHeight w:val="216"/>
        </w:trPr>
        <w:tc>
          <w:tcPr>
            <w:tcW w:w="274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rPr>
              <w:t>White &amp; Case LLP</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8"/>
              </w:rPr>
              <w:t>White &amp; Case LLP</w:t>
            </w:r>
          </w:p>
        </w:tc>
      </w:tr>
      <w:tr>
        <w:trPr>
          <w:trHeight w:val="216"/>
        </w:trPr>
        <w:tc>
          <w:tcPr>
            <w:tcW w:w="27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609 Main Street</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1221 Avenue of the Americas</w:t>
            </w:r>
          </w:p>
        </w:tc>
      </w:tr>
      <w:tr>
        <w:trPr>
          <w:trHeight w:val="216"/>
        </w:trPr>
        <w:tc>
          <w:tcPr>
            <w:tcW w:w="274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Houston, Texas 77002</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7"/>
              </w:rPr>
              <w:t>New York, New York 10020</w:t>
            </w:r>
          </w:p>
        </w:tc>
      </w:tr>
      <w:tr>
        <w:trPr>
          <w:trHeight w:val="238"/>
        </w:trPr>
        <w:tc>
          <w:tcPr>
            <w:tcW w:w="27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Telephone: (713) 496-9700</w:t>
            </w:r>
          </w:p>
        </w:tc>
        <w:tc>
          <w:tcPr>
            <w:tcW w:w="50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Telephone: (212) 819-8200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1640" w:firstLine="8"/>
        <w:spacing w:after="0" w:line="477"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509" w:right="7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SCHEDULE TO</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Amendment No. 2 amends and supplements the Tender Offer Statement on Schedule TO filed by Tigo Energy, Inc., a Delaware corporation (“Tigo” or the “Company”), with the Securities and Exchange Commission (the “SEC”) on November 12, 2024 (as so amended, this “Schedule TO”).</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Schedule TO relates to an offer (the “Offer”) by the Company to eligible employees and directors to exchange certain outstanding options to purchase shares of our Common Stock (“Common Stock”) for new options to purchase a number of shares of our Common Stock (“Replacement Options”), upon the terms and subject to the conditions set forth in the Offer to Exchange Certain Outstanding Options to Purchase Common Stock for a Number of Replacement Options, dated November 12, 2024 (the “Offer to Exchange”), attached hereto as Exhibit (a)(1)(i) and incorporated herein by reference.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Only Eligible Options may be exchanged in the Option Exchange. For these purposes, “Eligible Options” are those options that (i) were granted under the Tigo Energy, Inc. 2023 Equity Incentive Plan (the “Equity Incentive Plan”), (ii) have an exercise price greater than $10.64 per share and (iii) are held by an employee or director of the Company or its subsidiaries as of the grant date of the Replacement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commenced on November 12, 2024 and expired at 11:59 P.M. Eastern Time on December 10, 2024.</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No. 2 is being filed in accordance with Rule 13e-4(c)(4) under the Securities of Exchange Act of 1934, as amended. This Amendment No. 2 is made to amend and supplement Item 12 (Exhibits) of the Schedule TO to update Exhibit (a)(1)(vii) to include the final exchange ratios emailed to the holders of Eligible Options on December 10, 2024 and to report the results of the Offer. This Amendment No. 2 shall be read together with the Schedule TO. Except as specifically provided herein, this Amendment No. 2 does not modify any of the information previously reported on the Schedule TO. Capitalized terms used in this Amendment No. 2 but not defined herein have the meanings ascribed to them in the Schedule 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Terms of the Transaction.</w:t>
      </w:r>
    </w:p>
    <w:p>
      <w:pPr>
        <w:spacing w:after="0" w:line="225"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Material Terms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TO is hereby amended and supplemented to include the following information: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Offer expired on December 10, 2024 at 11:59 P.M. Eastern Time. A total of 21 employees and directors elected to participate in the Offer. Pursuant to the terms and conditions of the Offer, the Company accepted for exchange Eligible Options to purchase an aggregate of 725,028 shares of Common Stock, representing approximately 96.6% of the total shares of Common Stock underlying the Eligible Options. All surrendered options were cancelled effective as of the expiration of the Offer. Effective promptly following the expiration of the Offer, the Company granted Replacement Options to purchase an aggregate of 181,107 shares of Common Stock under the Equity Incentive Plan. The terms of the Replacement Options are described in detail in the Offer to Exchange.”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11, 2024</w:t>
            </w:r>
          </w:p>
        </w:tc>
        <w:tc>
          <w:tcPr>
            <w:tcW w:w="690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TIGO ENERGY, INC.</w:t>
            </w:r>
          </w:p>
        </w:tc>
      </w:tr>
      <w:tr>
        <w:trPr>
          <w:trHeight w:val="439"/>
        </w:trPr>
        <w:tc>
          <w:tcPr>
            <w:tcW w:w="4340" w:type="dxa"/>
            <w:vAlign w:val="bottom"/>
          </w:tcPr>
          <w:p>
            <w:pPr>
              <w:spacing w:after="0"/>
              <w:rPr>
                <w:sz w:val="24"/>
                <w:szCs w:val="24"/>
                <w:color w:val="auto"/>
              </w:rPr>
            </w:pPr>
          </w:p>
        </w:tc>
        <w:tc>
          <w:tcPr>
            <w:tcW w:w="29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Bill Roeschlein</w:t>
            </w:r>
          </w:p>
        </w:tc>
      </w:tr>
      <w:tr>
        <w:trPr>
          <w:trHeight w:val="198"/>
        </w:trPr>
        <w:tc>
          <w:tcPr>
            <w:tcW w:w="4340" w:type="dxa"/>
            <w:vAlign w:val="bottom"/>
          </w:tcPr>
          <w:p>
            <w:pPr>
              <w:spacing w:after="0"/>
              <w:rPr>
                <w:sz w:val="17"/>
                <w:szCs w:val="17"/>
                <w:color w:val="auto"/>
              </w:rPr>
            </w:pPr>
          </w:p>
        </w:tc>
        <w:tc>
          <w:tcPr>
            <w:tcW w:w="2980" w:type="dxa"/>
            <w:vAlign w:val="bottom"/>
          </w:tcPr>
          <w:p>
            <w:pPr>
              <w:ind w:left="24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Bill Roeschlein</w:t>
            </w:r>
          </w:p>
        </w:tc>
      </w:tr>
      <w:tr>
        <w:trPr>
          <w:trHeight w:val="234"/>
        </w:trPr>
        <w:tc>
          <w:tcPr>
            <w:tcW w:w="4340" w:type="dxa"/>
            <w:vAlign w:val="bottom"/>
          </w:tcPr>
          <w:p>
            <w:pPr>
              <w:spacing w:after="0"/>
              <w:rPr>
                <w:sz w:val="20"/>
                <w:szCs w:val="20"/>
                <w:color w:val="auto"/>
              </w:rPr>
            </w:pPr>
          </w:p>
        </w:tc>
        <w:tc>
          <w:tcPr>
            <w:tcW w:w="298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40" w:type="dxa"/>
            <w:vAlign w:val="bottom"/>
            <w:gridSpan w:val="3"/>
          </w:tcPr>
          <w:p>
            <w:pPr>
              <w:ind w:left="15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6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9"/>
        </w:trPr>
        <w:tc>
          <w:tcPr>
            <w:tcW w:w="10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(a)(1)(i)*</w:t>
            </w:r>
          </w:p>
        </w:tc>
        <w:tc>
          <w:tcPr>
            <w:tcW w:w="120" w:type="dxa"/>
            <w:vAlign w:val="bottom"/>
            <w:tcBorders>
              <w:top w:val="single" w:sz="8" w:color="CCEEFF"/>
            </w:tcBorders>
            <w:shd w:val="clear" w:color="auto" w:fill="CCEEFF"/>
          </w:tcPr>
          <w:p>
            <w:pPr>
              <w:spacing w:after="0"/>
              <w:rPr>
                <w:sz w:val="16"/>
                <w:szCs w:val="16"/>
                <w:color w:val="auto"/>
              </w:rPr>
            </w:pPr>
          </w:p>
        </w:tc>
        <w:tc>
          <w:tcPr>
            <w:tcW w:w="10100" w:type="dxa"/>
            <w:vAlign w:val="bottom"/>
            <w:tcBorders>
              <w:top w:val="single" w:sz="8" w:color="auto"/>
            </w:tcBorders>
            <w:gridSpan w:val="8"/>
            <w:shd w:val="clear" w:color="auto" w:fill="CCEEFF"/>
          </w:tcPr>
          <w:p>
            <w:pPr>
              <w:spacing w:after="0" w:line="169"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Offer to Exchange Certain Outstanding Options to Purchase Common Stock, dated November 12, 2024</w:t>
              </w:r>
            </w:hyperlink>
          </w:p>
        </w:tc>
      </w:tr>
      <w:tr>
        <w:trPr>
          <w:trHeight w:val="176"/>
        </w:trPr>
        <w:tc>
          <w:tcPr>
            <w:tcW w:w="11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(a)(1)(ii)*</w:t>
            </w:r>
          </w:p>
        </w:tc>
        <w:tc>
          <w:tcPr>
            <w:tcW w:w="7440" w:type="dxa"/>
            <w:vAlign w:val="bottom"/>
            <w:tcBorders>
              <w:top w:val="single" w:sz="8" w:color="0000EE"/>
            </w:tcBorders>
            <w:gridSpan w:val="7"/>
          </w:tcPr>
          <w:p>
            <w:pPr>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Form of Announcement Email.</w:t>
              </w:r>
            </w:hyperlink>
          </w:p>
        </w:tc>
        <w:tc>
          <w:tcPr>
            <w:tcW w:w="2660" w:type="dxa"/>
            <w:vAlign w:val="bottom"/>
            <w:tcBorders>
              <w:top w:val="single" w:sz="8" w:color="CCEEFF"/>
            </w:tcBorders>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(a)(1)(iii)*</w:t>
            </w:r>
          </w:p>
        </w:tc>
        <w:tc>
          <w:tcPr>
            <w:tcW w:w="1010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Election Form.</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(a)(1)(iv)*</w:t>
            </w:r>
          </w:p>
        </w:tc>
        <w:tc>
          <w:tcPr>
            <w:tcW w:w="10100" w:type="dxa"/>
            <w:vAlign w:val="bottom"/>
            <w:gridSpan w:val="8"/>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Withdrawal Form.</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(a)(1)(v)*</w:t>
            </w:r>
          </w:p>
        </w:tc>
        <w:tc>
          <w:tcPr>
            <w:tcW w:w="220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Forms of Confirmation Email.</w:t>
              </w:r>
            </w:hyperlink>
          </w:p>
        </w:tc>
        <w:tc>
          <w:tcPr>
            <w:tcW w:w="7900" w:type="dxa"/>
            <w:vAlign w:val="bottom"/>
            <w:tcBorders>
              <w:bottom w:val="single" w:sz="8" w:color="CCEEFF"/>
            </w:tcBorders>
            <w:gridSpan w:val="4"/>
            <w:shd w:val="clear" w:color="auto" w:fill="CCEEFF"/>
          </w:tcPr>
          <w:p>
            <w:pPr>
              <w:spacing w:after="0"/>
              <w:rPr>
                <w:sz w:val="17"/>
                <w:szCs w:val="17"/>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(a)(1)(vi)*</w:t>
            </w:r>
          </w:p>
        </w:tc>
        <w:tc>
          <w:tcPr>
            <w:tcW w:w="10100" w:type="dxa"/>
            <w:vAlign w:val="bottom"/>
            <w:gridSpan w:val="8"/>
          </w:tcPr>
          <w:p>
            <w:pPr>
              <w:spacing w:after="0" w:line="17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Forms of Reminder Email.</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(a)(1)(vii)</w:t>
            </w: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Email to Holders Regarding Final Exchange Ratios</w:t>
            </w:r>
          </w:p>
        </w:tc>
      </w:tr>
      <w:tr>
        <w:trPr>
          <w:trHeight w:val="216"/>
        </w:trPr>
        <w:tc>
          <w:tcPr>
            <w:tcW w:w="11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43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5780" w:type="dxa"/>
            <w:vAlign w:val="bottom"/>
            <w:tcBorders>
              <w:top w:val="single" w:sz="8" w:color="CCEEFF"/>
            </w:tcBorders>
            <w:gridSpan w:val="2"/>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(a)(3)</w:t>
            </w: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(a)(4)</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(a)(5)</w:t>
            </w: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r>
    </w:tbl>
    <w:p>
      <w:pPr>
        <w:ind w:left="1140" w:hanging="113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tbl>
      <w:tblPr>
        <w:tblLayout w:type="fixed"/>
        <w:tblInd w:w="0" w:type="dxa"/>
        <w:tblCellMar>
          <w:top w:w="0" w:type="dxa"/>
          <w:left w:w="0" w:type="dxa"/>
          <w:bottom w:w="0" w:type="dxa"/>
          <w:right w:w="0" w:type="dxa"/>
        </w:tblCellMar>
      </w:tblPr>
      <w:tr>
        <w:trPr>
          <w:trHeight w:val="185"/>
        </w:trPr>
        <w:tc>
          <w:tcPr>
            <w:tcW w:w="11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(d)(1)</w:t>
            </w:r>
          </w:p>
        </w:tc>
        <w:tc>
          <w:tcPr>
            <w:tcW w:w="10100" w:type="dxa"/>
            <w:vAlign w:val="bottom"/>
            <w:gridSpan w:val="5"/>
            <w:shd w:val="clear" w:color="auto" w:fill="CCEEFF"/>
          </w:tcPr>
          <w:p>
            <w:pPr>
              <w:spacing w:after="0" w:line="184"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2023 Equity Incentive Plan of Tigo Energy, Inc. (incorporated by reference to Exhibit 10.4 to the Company’s Current Report on Form 8-K</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6740" w:type="dxa"/>
            <w:vAlign w:val="bottom"/>
            <w:tcBorders>
              <w:top w:val="single" w:sz="8" w:color="0000EE"/>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(File No. 001-40710), filed with the Securities and Exchange Commission on May 30, 2023).</w:t>
              </w:r>
            </w:hyperlink>
          </w:p>
        </w:tc>
        <w:tc>
          <w:tcPr>
            <w:tcW w:w="3340" w:type="dxa"/>
            <w:vAlign w:val="bottom"/>
            <w:tcBorders>
              <w:top w:val="single" w:sz="8" w:color="0000EE"/>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(d)(2)</w:t>
            </w:r>
          </w:p>
        </w:tc>
        <w:tc>
          <w:tcPr>
            <w:tcW w:w="9900" w:type="dxa"/>
            <w:vAlign w:val="bottom"/>
            <w:tcBorders>
              <w:bottom w:val="single" w:sz="8" w:color="0000EE"/>
            </w:tcBorders>
            <w:gridSpan w:val="3"/>
          </w:tcPr>
          <w:p>
            <w:pPr>
              <w:spacing w:after="0" w:line="17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Form of Stock Option Grant Notice (incorporated by reference to Exhibit 4.9 to the Company’s Registration Statement on Form S-8 (File</w:t>
              </w:r>
            </w:hyperlink>
          </w:p>
        </w:tc>
        <w:tc>
          <w:tcPr>
            <w:tcW w:w="200" w:type="dxa"/>
            <w:vAlign w:val="bottom"/>
            <w:gridSpan w:val="2"/>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42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No. 333-273897), filed with the SEC on August 10, 2023).</w:t>
              </w:r>
            </w:hyperlink>
          </w:p>
        </w:tc>
        <w:tc>
          <w:tcPr>
            <w:tcW w:w="5860" w:type="dxa"/>
            <w:vAlign w:val="bottom"/>
            <w:gridSpan w:val="4"/>
          </w:tcPr>
          <w:p>
            <w:pPr>
              <w:spacing w:after="0"/>
              <w:rPr>
                <w:sz w:val="17"/>
                <w:szCs w:val="17"/>
                <w:color w:val="auto"/>
              </w:rPr>
            </w:pPr>
          </w:p>
        </w:tc>
      </w:tr>
    </w:tbl>
    <w:p>
      <w:pPr>
        <w:spacing w:after="0" w:line="9" w:lineRule="exact"/>
        <w:rPr>
          <w:sz w:val="20"/>
          <w:szCs w:val="20"/>
          <w:color w:val="auto"/>
        </w:rPr>
      </w:pPr>
    </w:p>
    <w:p>
      <w:pPr>
        <w:ind w:left="1140" w:hanging="113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7"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28">
        <w:r>
          <w:rPr>
            <w:rFonts w:ascii="Times New Roman" w:cs="Times New Roman" w:eastAsia="Times New Roman" w:hAnsi="Times New Roman"/>
            <w:sz w:val="18"/>
            <w:szCs w:val="18"/>
            <w:u w:val="single" w:color="auto"/>
            <w:color w:val="0000EE"/>
          </w:rPr>
          <w:t>Calculation of Filing Fees</w:t>
        </w:r>
      </w:hyperlink>
    </w:p>
    <w:p>
      <w:pPr>
        <w:spacing w:after="0" w:line="207"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(a)(1)(vii)</w:t>
      </w:r>
    </w:p>
    <w:p>
      <w:pPr>
        <w:spacing w:after="0" w:line="24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EMAIL REGARDING FINAL EXCHANGE RATIOS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Subject: Final Exchange Ratios for Offer to Exchange Eligible Options for Replacement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All Eligible Option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[December 10], 2024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sending this e-mail to you to notify you of the final exchange ratios to be used in the Offer to Exchange Certain Outstanding Options To Purchase Shares of Common Stock For a Number of Replacement Options dated November 12, 2024 (the “Offer to Exchange”). All capitalized terms used but not defined herein shall have the meanings given in the Offer to Exchange.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Below is a table that you can use to calculate the number of Replacement Options that you will receive if you validly exchange Eligible Options in the Offer.</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Final Exchange Ratios: </w:t>
      </w:r>
      <w:r>
        <w:rPr>
          <w:rFonts w:ascii="Times New Roman" w:cs="Times New Roman" w:eastAsia="Times New Roman" w:hAnsi="Times New Roman"/>
          <w:sz w:val="18"/>
          <w:szCs w:val="18"/>
          <w:color w:val="auto"/>
        </w:rPr>
        <w:t>Based on a per share stock price of $0.90, which was the closing price of our common stock on December 10, 2024, the final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ratios applicable to Eligible Options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Pr>
          <w:p>
            <w:pPr>
              <w:spacing w:after="0"/>
              <w:rPr>
                <w:sz w:val="21"/>
                <w:szCs w:val="21"/>
                <w:color w:val="auto"/>
              </w:rPr>
            </w:pPr>
          </w:p>
        </w:tc>
        <w:tc>
          <w:tcPr>
            <w:tcW w:w="496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Eligible Option Exercise Price per Share</w:t>
            </w:r>
          </w:p>
        </w:tc>
        <w:tc>
          <w:tcPr>
            <w:tcW w:w="56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Exchange Ratio for Replacement Options(1)</w:t>
            </w:r>
          </w:p>
        </w:tc>
      </w:tr>
      <w:tr>
        <w:trPr>
          <w:trHeight w:val="216"/>
        </w:trPr>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4840" w:type="dxa"/>
            <w:vAlign w:val="bottom"/>
            <w:tcBorders>
              <w:top w:val="single" w:sz="8" w:color="auto"/>
            </w:tcBorders>
            <w:shd w:val="clear" w:color="auto" w:fill="CCEEFF"/>
          </w:tcPr>
          <w:p>
            <w:pPr>
              <w:ind w:left="4440"/>
              <w:spacing w:after="0"/>
              <w:rPr>
                <w:sz w:val="20"/>
                <w:szCs w:val="20"/>
                <w:color w:val="auto"/>
              </w:rPr>
            </w:pPr>
            <w:r>
              <w:rPr>
                <w:rFonts w:ascii="Times New Roman" w:cs="Times New Roman" w:eastAsia="Times New Roman" w:hAnsi="Times New Roman"/>
                <w:sz w:val="18"/>
                <w:szCs w:val="18"/>
                <w:color w:val="auto"/>
                <w:w w:val="93"/>
              </w:rPr>
              <w:t>10.65</w:t>
            </w:r>
          </w:p>
        </w:tc>
        <w:tc>
          <w:tcPr>
            <w:tcW w:w="1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4960" w:type="dxa"/>
            <w:vAlign w:val="bottom"/>
            <w:gridSpan w:val="2"/>
          </w:tcPr>
          <w:p>
            <w:pPr>
              <w:ind w:left="4460"/>
              <w:spacing w:after="0"/>
              <w:rPr>
                <w:sz w:val="20"/>
                <w:szCs w:val="20"/>
                <w:color w:val="auto"/>
              </w:rPr>
            </w:pPr>
            <w:r>
              <w:rPr>
                <w:rFonts w:ascii="Times New Roman" w:cs="Times New Roman" w:eastAsia="Times New Roman" w:hAnsi="Times New Roman"/>
                <w:sz w:val="18"/>
                <w:szCs w:val="18"/>
                <w:color w:val="auto"/>
              </w:rPr>
              <w:t>11.50</w:t>
            </w:r>
          </w:p>
        </w:tc>
        <w:tc>
          <w:tcPr>
            <w:tcW w:w="5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0.249</w:t>
            </w:r>
          </w:p>
        </w:tc>
      </w:tr>
    </w:tbl>
    <w:p>
      <w:pPr>
        <w:spacing w:after="0" w:line="179" w:lineRule="exact"/>
        <w:rPr>
          <w:sz w:val="20"/>
          <w:szCs w:val="20"/>
          <w:color w:val="auto"/>
        </w:rPr>
      </w:pPr>
    </w:p>
    <w:p>
      <w:pPr>
        <w:ind w:left="460" w:hanging="448"/>
        <w:spacing w:after="0" w:line="28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application of the applicable exchange ratio results in a Replacement Option for a fractional share, the number of Replacement Options will be rounded down to the nearest whole number.</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Illustrative Example: </w:t>
      </w:r>
      <w:r>
        <w:rPr>
          <w:rFonts w:ascii="Times New Roman" w:cs="Times New Roman" w:eastAsia="Times New Roman" w:hAnsi="Times New Roman"/>
          <w:sz w:val="18"/>
          <w:szCs w:val="18"/>
          <w:color w:val="auto"/>
        </w:rPr>
        <w:t>To determine the number of Replacement Options you will receive for each Eligible Option, multiply the number of shares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Eligible Option by the applicable exchange ratio, and round down to the nearest whole share. For example, if you tender for exchange an Eligible Option to purchase 1,000 shares that has an exercise price per share of $10.65, the exchange ratio is 0.255 and accordingly you would receive 255 Replacement Options.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Replacement Options will be subject to all of the terms set forth in the Offer to Exchange.</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notice does not constitute the Option Exchange. The full terms of the Offer are described in the Offer to Exchange and the related Election Form, and other applicable communications previously made by the Company to you. You should direct questions about this Offer and requests for additional copies of the Offer to Exchange and the other Offer documents by emailing stockadmin@tigoenergy.com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7"/>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9" Type="http://schemas.openxmlformats.org/officeDocument/2006/relationships/image" Target="media/image13.png"/><Relationship Id="rId18" Type="http://schemas.openxmlformats.org/officeDocument/2006/relationships/hyperlink" Target="http://www.sec.gov/Archives/edgar/data/1855447/000121390024096800/ea022071601-exa1i_tigo.htm" TargetMode="External"/><Relationship Id="rId19" Type="http://schemas.openxmlformats.org/officeDocument/2006/relationships/hyperlink" Target="http://www.sec.gov/Archives/edgar/data/1855447/000121390024096800/ea022071601-exa1ii_tigo.htm" TargetMode="External"/><Relationship Id="rId20" Type="http://schemas.openxmlformats.org/officeDocument/2006/relationships/hyperlink" Target="http://www.sec.gov/Archives/edgar/data/1855447/000121390024096800/ea022071601-exa1iii_tigo.htm" TargetMode="External"/><Relationship Id="rId21" Type="http://schemas.openxmlformats.org/officeDocument/2006/relationships/hyperlink" Target="http://www.sec.gov/Archives/edgar/data/1855447/000121390024096800/ea022071601-exa1iv_tigo.htm" TargetMode="External"/><Relationship Id="rId22" Type="http://schemas.openxmlformats.org/officeDocument/2006/relationships/hyperlink" Target="http://www.sec.gov/Archives/edgar/data/1855447/000121390024096800/ea022071601-exa1v_tigo.htm" TargetMode="External"/><Relationship Id="rId23" Type="http://schemas.openxmlformats.org/officeDocument/2006/relationships/hyperlink" Target="http://www.sec.gov/Archives/edgar/data/1855447/000121390024096800/ea022071601-exa1vi_tigo.htm" TargetMode="External"/><Relationship Id="rId24" Type="http://schemas.openxmlformats.org/officeDocument/2006/relationships/hyperlink" Target="https://www.sec.gov/Archives/edgar/data/1855447/000121390023044099/ea179362ex10-4_tigoenergy.htm" TargetMode="External"/><Relationship Id="rId25" Type="http://schemas.openxmlformats.org/officeDocument/2006/relationships/hyperlink" Target="https://www.sec.gov/Archives/edgar/data/1855447/000121390023065713/ea183124ex4-9_tigoenergy.htm" TargetMode="External"/><Relationship Id="rId28" Type="http://schemas.openxmlformats.org/officeDocument/2006/relationships/hyperlink" Target="http://www.sec.gov/Archives/edgar/data/1855447/000121390024096800/ea022071601ex-fee_tig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2024-12-11T15:17:12Z</dcterms:created>
  <dcterms:modified xsi:type="dcterms:W3CDTF">2024-12-11T15:17:12Z</dcterms:modified>
</cp:coreProperties>
</file>