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5727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5727065"/>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60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ALON ZVI</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1100"/>
        <w:spacing w:after="0" w:line="336" w:lineRule="auto"/>
        <w:rPr>
          <w:sz w:val="20"/>
          <w:szCs w:val="20"/>
          <w:color w:val="auto"/>
        </w:rPr>
      </w:pPr>
      <w:r>
        <w:rPr>
          <w:rFonts w:ascii="Times New Roman" w:cs="Times New Roman" w:eastAsia="Times New Roman" w:hAnsi="Times New Roman"/>
          <w:sz w:val="16"/>
          <w:szCs w:val="16"/>
          <w:color w:val="0000FF"/>
        </w:rPr>
        <w:t>983 UNIVERSITY AVENUE SUITE 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TIGO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TYGO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01/15/2026</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8"/>
        <w:spacing w:after="0"/>
        <w:tabs>
          <w:tab w:leader="none" w:pos="1728"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001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01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958"/>
        <w:spacing w:after="0"/>
        <w:rPr>
          <w:sz w:val="20"/>
          <w:szCs w:val="20"/>
          <w:color w:val="auto"/>
        </w:rPr>
      </w:pPr>
      <w:r>
        <w:rPr>
          <w:rFonts w:ascii="Times New Roman" w:cs="Times New Roman" w:eastAsia="Times New Roman" w:hAnsi="Times New Roman"/>
          <w:sz w:val="16"/>
          <w:szCs w:val="16"/>
          <w:color w:val="0000FF"/>
        </w:rPr>
        <w:t>CEO / Chairperson</w:t>
      </w:r>
    </w:p>
    <w:p>
      <w:pPr>
        <w:spacing w:after="0" w:line="407" w:lineRule="exact"/>
        <w:rPr>
          <w:sz w:val="24"/>
          <w:szCs w:val="24"/>
          <w:color w:val="auto"/>
        </w:rPr>
      </w:pPr>
    </w:p>
    <w:p>
      <w:pPr>
        <w:sectPr>
          <w:pgSz w:w="11900" w:h="16838" w:orient="portrait"/>
          <w:cols w:equalWidth="0" w:num="3">
            <w:col w:w="3180" w:space="720"/>
            <w:col w:w="3102" w:space="720"/>
            <w:col w:w="3358"/>
          </w:cols>
          <w:pgMar w:left="460" w:top="215" w:right="359" w:bottom="604" w:gutter="0" w:footer="0" w:header="0"/>
          <w:type w:val="continuous"/>
        </w:sectPr>
      </w:pPr>
    </w:p>
    <w:p>
      <w:pPr>
        <w:spacing w:after="0" w:line="20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LOS GATOS</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95032</w:t>
            </w:r>
          </w:p>
        </w:tc>
      </w:tr>
      <w:tr>
        <w:trPr>
          <w:trHeight w:val="144"/>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3" w:lineRule="exact"/>
        <w:rPr>
          <w:sz w:val="24"/>
          <w:szCs w:val="24"/>
          <w:color w:val="auto"/>
        </w:rPr>
      </w:pPr>
    </w:p>
    <w:p>
      <w:pPr>
        <w:sectPr>
          <w:pgSz w:w="11900" w:h="16838" w:orient="portrait"/>
          <w:cols w:equalWidth="0" w:num="2">
            <w:col w:w="3740" w:space="160"/>
            <w:col w:w="7180"/>
          </w:cols>
          <w:pgMar w:left="460" w:top="215" w:right="359" w:bottom="604"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0" w:type="dxa"/>
            <w:vAlign w:val="bottom"/>
            <w:gridSpan w:val="2"/>
          </w:tcPr>
          <w:p>
            <w:pPr>
              <w:ind w:left="78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6"/>
                <w:szCs w:val="16"/>
                <w:color w:val="0000FF"/>
              </w:rPr>
              <w:t>01/15/2026</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13"/>
                <w:szCs w:val="13"/>
                <w:color w:val="0000FF"/>
                <w:w w:val="86"/>
              </w:rPr>
              <w:t>M</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140,010</w:t>
            </w:r>
            <w:r>
              <w:rPr>
                <w:rFonts w:ascii="Times New Roman" w:cs="Times New Roman" w:eastAsia="Times New Roman" w:hAnsi="Times New Roman"/>
                <w:sz w:val="20"/>
                <w:szCs w:val="20"/>
                <w:color w:val="008000"/>
                <w:vertAlign w:val="superscript"/>
              </w:rPr>
              <w:t>(1)</w:t>
            </w:r>
          </w:p>
        </w:tc>
        <w:tc>
          <w:tcPr>
            <w:tcW w:w="600" w:type="dxa"/>
            <w:vAlign w:val="bottom"/>
            <w:tcBorders>
              <w:bottom w:val="single" w:sz="8" w:color="2C2C2C"/>
            </w:tcBorders>
          </w:tcPr>
          <w:p>
            <w:pPr>
              <w:jc w:val="right"/>
              <w:ind w:right="138"/>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0.75</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4"/>
              </w:rPr>
              <w:t>1,363,415</w:t>
            </w:r>
            <w:r>
              <w:rPr>
                <w:rFonts w:ascii="Times New Roman" w:cs="Times New Roman" w:eastAsia="Times New Roman" w:hAnsi="Times New Roman"/>
                <w:sz w:val="20"/>
                <w:szCs w:val="20"/>
                <w:color w:val="008000"/>
                <w:w w:val="94"/>
                <w:vertAlign w:val="superscript"/>
              </w:rPr>
              <w:t>(2)(3)</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74"/>
              <w:spacing w:after="0"/>
              <w:rPr>
                <w:sz w:val="20"/>
                <w:szCs w:val="20"/>
                <w:color w:val="auto"/>
              </w:rPr>
            </w:pPr>
            <w:r>
              <w:rPr>
                <w:rFonts w:ascii="Times New Roman" w:cs="Times New Roman" w:eastAsia="Times New Roman" w:hAnsi="Times New Roman"/>
                <w:sz w:val="16"/>
                <w:szCs w:val="16"/>
                <w:color w:val="0000FF"/>
              </w:rPr>
              <w:t>D</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6"/>
                <w:szCs w:val="16"/>
                <w:color w:val="0000FF"/>
              </w:rPr>
              <w:t>01/15/2026</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54,153</w:t>
            </w:r>
            <w:r>
              <w:rPr>
                <w:rFonts w:ascii="Times New Roman" w:cs="Times New Roman" w:eastAsia="Times New Roman" w:hAnsi="Times New Roman"/>
                <w:sz w:val="20"/>
                <w:szCs w:val="20"/>
                <w:color w:val="008000"/>
                <w:vertAlign w:val="superscript"/>
              </w:rPr>
              <w:t>(4)</w:t>
            </w:r>
          </w:p>
        </w:tc>
        <w:tc>
          <w:tcPr>
            <w:tcW w:w="600" w:type="dxa"/>
            <w:vAlign w:val="bottom"/>
            <w:tcBorders>
              <w:bottom w:val="single" w:sz="8" w:color="2C2C2C"/>
            </w:tcBorders>
          </w:tcPr>
          <w:p>
            <w:pPr>
              <w:jc w:val="right"/>
              <w:ind w:right="138"/>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2.25</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1,309,262</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74"/>
              <w:spacing w:after="0"/>
              <w:rPr>
                <w:sz w:val="20"/>
                <w:szCs w:val="20"/>
                <w:color w:val="auto"/>
              </w:rPr>
            </w:pPr>
            <w:r>
              <w:rPr>
                <w:rFonts w:ascii="Times New Roman" w:cs="Times New Roman" w:eastAsia="Times New Roman" w:hAnsi="Times New Roman"/>
                <w:sz w:val="16"/>
                <w:szCs w:val="16"/>
                <w:color w:val="0000FF"/>
              </w:rPr>
              <w:t>D</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85"/>
              </w:rPr>
              <w:t>By</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rPr>
              <w:t>1,774,826</w:t>
            </w:r>
          </w:p>
        </w:tc>
        <w:tc>
          <w:tcPr>
            <w:tcW w:w="340" w:type="dxa"/>
            <w:vAlign w:val="bottom"/>
          </w:tcPr>
          <w:p>
            <w:pPr>
              <w:spacing w:after="0"/>
              <w:rPr>
                <w:sz w:val="17"/>
                <w:szCs w:val="17"/>
                <w:color w:val="auto"/>
              </w:rPr>
            </w:pPr>
          </w:p>
        </w:tc>
        <w:tc>
          <w:tcPr>
            <w:tcW w:w="600" w:type="dxa"/>
            <w:vAlign w:val="bottom"/>
          </w:tcPr>
          <w:p>
            <w:pPr>
              <w:jc w:val="center"/>
              <w:ind w:right="354"/>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Revocable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Trust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By Alon</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rPr>
              <w:t>12,689,306</w:t>
            </w:r>
          </w:p>
        </w:tc>
        <w:tc>
          <w:tcPr>
            <w:tcW w:w="340" w:type="dxa"/>
            <w:vAlign w:val="bottom"/>
          </w:tcPr>
          <w:p>
            <w:pPr>
              <w:spacing w:after="0"/>
              <w:rPr>
                <w:sz w:val="17"/>
                <w:szCs w:val="17"/>
                <w:color w:val="auto"/>
              </w:rPr>
            </w:pPr>
          </w:p>
        </w:tc>
        <w:tc>
          <w:tcPr>
            <w:tcW w:w="600" w:type="dxa"/>
            <w:vAlign w:val="bottom"/>
          </w:tcPr>
          <w:p>
            <w:pPr>
              <w:jc w:val="center"/>
              <w:ind w:right="354"/>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Ventures,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LLC</w:t>
            </w: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6220" w:type="dxa"/>
            <w:vAlign w:val="bottom"/>
            <w:tcBorders>
              <w:bottom w:val="single" w:sz="8" w:color="2C2C2C"/>
            </w:tcBorders>
            <w:gridSpan w:val="8"/>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8"/>
          </w:tcPr>
          <w:p>
            <w:pPr>
              <w:jc w:val="center"/>
              <w:ind w:right="77"/>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7"/>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00" w:type="dxa"/>
            <w:vAlign w:val="bottom"/>
          </w:tcPr>
          <w:p>
            <w:pPr>
              <w:spacing w:after="0"/>
              <w:rPr>
                <w:sz w:val="14"/>
                <w:szCs w:val="14"/>
                <w:color w:val="auto"/>
              </w:rPr>
            </w:pPr>
          </w:p>
        </w:tc>
        <w:tc>
          <w:tcPr>
            <w:tcW w:w="68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68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00" w:type="dxa"/>
            <w:vAlign w:val="bottom"/>
          </w:tcPr>
          <w:p>
            <w:pPr>
              <w:spacing w:after="0"/>
              <w:rPr>
                <w:sz w:val="10"/>
                <w:szCs w:val="10"/>
                <w:color w:val="auto"/>
              </w:rPr>
            </w:pPr>
          </w:p>
        </w:tc>
        <w:tc>
          <w:tcPr>
            <w:tcW w:w="68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0" w:type="dxa"/>
            <w:vAlign w:val="bottom"/>
            <w:gridSpan w:val="2"/>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w w:val="96"/>
              </w:rPr>
              <w:t>Direct (D)</w:t>
            </w:r>
          </w:p>
        </w:tc>
        <w:tc>
          <w:tcPr>
            <w:tcW w:w="200" w:type="dxa"/>
            <w:vAlign w:val="bottom"/>
          </w:tcPr>
          <w:p>
            <w:pPr>
              <w:spacing w:after="0"/>
              <w:rPr>
                <w:sz w:val="10"/>
                <w:szCs w:val="10"/>
                <w:color w:val="auto"/>
              </w:rPr>
            </w:pPr>
          </w:p>
        </w:tc>
        <w:tc>
          <w:tcPr>
            <w:tcW w:w="68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0" w:type="dxa"/>
            <w:vAlign w:val="bottom"/>
            <w:gridSpan w:val="2"/>
          </w:tcPr>
          <w:p>
            <w:pPr>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68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0.75</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3"/>
                <w:szCs w:val="13"/>
                <w:color w:val="0000FF"/>
              </w:rPr>
              <w:t>01/15/2026</w:t>
            </w:r>
          </w:p>
        </w:tc>
        <w:tc>
          <w:tcPr>
            <w:tcW w:w="106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02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140,010</w:t>
            </w:r>
            <w:r>
              <w:rPr>
                <w:rFonts w:ascii="Times New Roman" w:cs="Times New Roman" w:eastAsia="Times New Roman" w:hAnsi="Times New Roman"/>
                <w:sz w:val="20"/>
                <w:szCs w:val="20"/>
                <w:color w:val="008000"/>
                <w:vertAlign w:val="superscript"/>
              </w:rPr>
              <w:t>(1)</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76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0000FF"/>
              </w:rPr>
              <w:t>02/25/2026</w:t>
            </w:r>
          </w:p>
        </w:tc>
        <w:tc>
          <w:tcPr>
            <w:tcW w:w="600" w:type="dxa"/>
            <w:vAlign w:val="bottom"/>
          </w:tcPr>
          <w:p>
            <w:pPr>
              <w:jc w:val="right"/>
              <w:ind w:right="138"/>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140,010</w:t>
            </w:r>
          </w:p>
        </w:tc>
        <w:tc>
          <w:tcPr>
            <w:tcW w:w="68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0000FF"/>
              </w:rPr>
              <w:t>0.00</w:t>
            </w: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tcPr>
          <w:p>
            <w:pPr>
              <w:ind w:left="40"/>
              <w:spacing w:after="0" w:line="139" w:lineRule="exact"/>
              <w:rPr>
                <w:sz w:val="20"/>
                <w:szCs w:val="20"/>
                <w:color w:val="auto"/>
              </w:rPr>
            </w:pPr>
            <w:r>
              <w:rPr>
                <w:rFonts w:ascii="Times New Roman" w:cs="Times New Roman" w:eastAsia="Times New Roman" w:hAnsi="Times New Roman"/>
                <w:sz w:val="13"/>
                <w:szCs w:val="13"/>
                <w:color w:val="0000FF"/>
              </w:rPr>
              <w:t>$0.0001</w:t>
            </w:r>
          </w:p>
        </w:tc>
        <w:tc>
          <w:tcPr>
            <w:tcW w:w="6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par value</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-1809115</wp:posOffset>
            </wp:positionV>
            <wp:extent cx="28575" cy="1814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181419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buy and hold exercise by the reporting person of a stock option that was set to expire on February 25, 2026.</w:t>
      </w:r>
    </w:p>
    <w:p>
      <w:pPr>
        <w:spacing w:after="0" w:line="39" w:lineRule="exact"/>
        <w:rPr>
          <w:rFonts w:ascii="Times New Roman" w:cs="Times New Roman" w:eastAsia="Times New Roman" w:hAnsi="Times New Roman"/>
          <w:sz w:val="13"/>
          <w:szCs w:val="13"/>
          <w:color w:val="008000"/>
        </w:rPr>
      </w:pPr>
    </w:p>
    <w:p>
      <w:pPr>
        <w:ind w:left="40" w:right="220" w:hanging="2"/>
        <w:spacing w:after="0" w:line="230"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57,971 shares of Common Stock underlying RSUs granted to the reporting person on August 11, 2023 (the "August 2023 Grant Date"), 222,220 shares of Common Stock underlying RSUs granted to the reporting person on September 16, 2024 (the "September 2024 Grant Date"), and 360,687 shares of Common Stock underlying RSU's granted to the reporting person on August 1, 2025 (the "August 2025 Grant Date") in each case, pursuant to the Issuer's 2023 Incentive Plan. One-Third (1/3) of the RSUs initially granted to the reporting person on August 11, 2023 vested and were delivered to the reporting person on August 11, 2024, the first anniversary of the August 2023 Grant Date, and one-third of the RSUs subject to the grant shall vest and be deliverable to the reporting person on each of the second and third anniversaries of the August 2023 Grant Date, subject to continued service through each such vesting date.</w:t>
      </w:r>
    </w:p>
    <w:p>
      <w:pPr>
        <w:spacing w:after="0" w:line="25" w:lineRule="exact"/>
        <w:rPr>
          <w:rFonts w:ascii="Times New Roman" w:cs="Times New Roman" w:eastAsia="Times New Roman" w:hAnsi="Times New Roman"/>
          <w:sz w:val="13"/>
          <w:szCs w:val="13"/>
          <w:color w:val="008000"/>
        </w:rPr>
      </w:pPr>
    </w:p>
    <w:p>
      <w:pPr>
        <w:ind w:left="40" w:right="160" w:hanging="2"/>
        <w:spacing w:after="0" w:line="232"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(Continuation of the Footnote (2)) One-Third (1/3) of the RSUs granted to the reporting person on September 16, 2024 shall vest, and an equal number of shares of Common Stock will be deliverable to the reporting person, on each of the first three anniversaries of the September 2024 Grant Date, subject to continued service through each such vesting date. One-Third (1/3) of the RSUs granted to the reporting person on August 1, 2025 shall vest, and an equal number of shares of Common Stock will be deliverable to the reporting person, on each of the first three anniversaries of the August 2025 Grant Date, subject to continued service through each such vesting date.</w:t>
      </w:r>
    </w:p>
    <w:p>
      <w:pPr>
        <w:spacing w:after="0" w:line="25"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cover the tax withholding obligations in connection with the exercise and settlement of the stock option described in Footnote 1.</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was fully exercisable on January 31, 2025.</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Bill Roeschlein, as attorney-</w:t>
            </w:r>
          </w:p>
        </w:tc>
        <w:tc>
          <w:tcPr>
            <w:tcW w:w="16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01/20/2026</w:t>
            </w:r>
          </w:p>
        </w:tc>
        <w:tc>
          <w:tcPr>
            <w:tcW w:w="0" w:type="dxa"/>
            <w:vAlign w:val="bottom"/>
          </w:tcPr>
          <w:p>
            <w:pPr>
              <w:spacing w:after="0"/>
              <w:rPr>
                <w:sz w:val="1"/>
                <w:szCs w:val="1"/>
                <w:color w:val="auto"/>
              </w:rPr>
            </w:pPr>
          </w:p>
        </w:tc>
      </w:tr>
      <w:tr>
        <w:trPr>
          <w:trHeight w:val="86"/>
        </w:trPr>
        <w:tc>
          <w:tcPr>
            <w:tcW w:w="4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5"/>
              </w:rPr>
              <w:t>in-fact</w:t>
            </w:r>
          </w:p>
        </w:tc>
        <w:tc>
          <w:tcPr>
            <w:tcW w:w="178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42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60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084951" TargetMode="External"/><Relationship Id="rId14"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2026-01-20T05:24:59Z</dcterms:created>
  <dcterms:modified xsi:type="dcterms:W3CDTF">2026-01-20T05:24:59Z</dcterms:modified>
</cp:coreProperties>
</file>