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rocg-20230331x10q.htm"/>
        <w:bookmarkStart w:id="1" w:name="ksrocg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bookmarkStart w:id="2" w:name="_2f00ccd9_e3f5_4f5c_aa57_5a4da2815d1a"/>
      <w:bookmarkEnd w:id="2"/>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20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200"/>
        <w:ind w:left="0" w:right="0" w:hanging="0"/>
        <w:jc w:val="center"/>
        <w:rPr>
          <w:rFonts w:ascii="Times New Roman;Times;serif" w:hAnsi="Times New Roman;Times;serif"/>
          <w:b/>
          <w:sz w:val="18"/>
        </w:rPr>
      </w:pPr>
      <w:r>
        <w:rPr>
          <w:rFonts w:ascii="Times New Roman;Times;serif" w:hAnsi="Times New Roman;Times;serif"/>
          <w:b/>
          <w:sz w:val="18"/>
        </w:rPr>
        <w:t>FORM 10-Q</w:t>
      </w:r>
    </w:p>
    <w:p>
      <w:pPr>
        <w:pStyle w:val="TextBody"/>
        <w:bidi w:val="0"/>
        <w:spacing w:before="0" w:after="180"/>
        <w:ind w:left="0" w:right="0" w:hanging="0"/>
        <w:jc w:val="center"/>
        <w:rPr/>
      </w:pPr>
      <w:r>
        <w:rPr/>
        <w:t xml:space="preserve">☒ </w:t>
      </w:r>
      <w:r>
        <w:rPr>
          <w:rFonts w:ascii="Times New Roman;Times;serif" w:hAnsi="Times New Roman;Times;serif"/>
          <w:b/>
          <w:sz w:val="18"/>
        </w:rPr>
        <w:t>QUARTERLY REPORT PURSUANT TO SECTION 13 OR 15(d) OF THE SECURITIES EXCHANGE ACT OF 1934</w:t>
      </w:r>
    </w:p>
    <w:p>
      <w:pPr>
        <w:pStyle w:val="TextBody"/>
        <w:bidi w:val="0"/>
        <w:spacing w:before="0" w:after="18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March 31, 2023</w:t>
      </w:r>
    </w:p>
    <w:p>
      <w:pPr>
        <w:pStyle w:val="TextBody"/>
        <w:bidi w:val="0"/>
        <w:spacing w:before="0" w:after="180"/>
        <w:ind w:left="0" w:right="0" w:hanging="0"/>
        <w:jc w:val="center"/>
        <w:rPr/>
      </w:pPr>
      <w:r>
        <w:rPr/>
        <w:t xml:space="preserve">☐ </w:t>
      </w:r>
      <w:r>
        <w:rPr>
          <w:rFonts w:ascii="Times New Roman;Times;serif" w:hAnsi="Times New Roman;Times;serif"/>
          <w:b/>
          <w:sz w:val="18"/>
        </w:rPr>
        <w:t>TRANSITION REPORT PURSUANT TO SECTION 13 OR 15(d) OF THE SECURITIES EXCHANGE ACT OF 1934</w:t>
      </w:r>
    </w:p>
    <w:p>
      <w:pPr>
        <w:pStyle w:val="TextBody"/>
        <w:bidi w:val="0"/>
        <w:spacing w:before="0" w:after="18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                  </w:t>
      </w:r>
    </w:p>
    <w:p>
      <w:pPr>
        <w:pStyle w:val="TextBody"/>
        <w:bidi w:val="0"/>
        <w:spacing w:before="0" w:after="180"/>
        <w:ind w:left="0" w:right="0" w:hanging="0"/>
        <w:jc w:val="center"/>
        <w:rPr>
          <w:rFonts w:ascii="Times New Roman;Times;serif" w:hAnsi="Times New Roman;Times;serif"/>
          <w:b/>
          <w:sz w:val="18"/>
        </w:rPr>
      </w:pPr>
      <w:r>
        <w:rPr>
          <w:rFonts w:ascii="Times New Roman;Times;serif" w:hAnsi="Times New Roman;Times;serif"/>
          <w:b/>
          <w:sz w:val="18"/>
        </w:rPr>
        <w:t>Commission file number: 001-40710</w:t>
      </w:r>
    </w:p>
    <w:tbl>
      <w:tblPr>
        <w:tblW w:w="3811" w:type="dxa"/>
        <w:jc w:val="left"/>
        <w:tblInd w:w="0" w:type="dxa"/>
        <w:tblLayout w:type="fixed"/>
        <w:tblCellMar>
          <w:top w:w="0" w:type="dxa"/>
          <w:left w:w="0" w:type="dxa"/>
          <w:bottom w:w="0" w:type="dxa"/>
          <w:right w:w="0" w:type="dxa"/>
        </w:tblCellMar>
      </w:tblPr>
      <w:tblGrid>
        <w:gridCol w:w="3811"/>
      </w:tblGrid>
      <w:tr>
        <w:trPr/>
        <w:tc>
          <w:tcPr>
            <w:tcW w:w="3811"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ROTH CH ACQUISITION IV CO.</w:t>
            </w:r>
          </w:p>
        </w:tc>
      </w:tr>
      <w:tr>
        <w:trPr/>
        <w:tc>
          <w:tcPr>
            <w:tcW w:w="38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tc>
      </w:tr>
    </w:tbl>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NdAqbInUuEi4tzL2CfGiMA_1_2"/>
      <w:bookmarkStart w:id="4" w:name="Tc_LF8dqqr3t0SJ0w26fPpzvw_1_0"/>
      <w:bookmarkStart w:id="5" w:name="_075a2d9a_ec10_4142_a811_685677457c37"/>
      <w:bookmarkStart w:id="6" w:name="Tc_NdAqbInUuEi4tzL2CfGiMA_1_2"/>
      <w:bookmarkStart w:id="7" w:name="Tc_LF8dqqr3t0SJ0w26fPpzvw_1_0"/>
      <w:bookmarkStart w:id="8" w:name="_075a2d9a_ec10_4142_a811_685677457c37"/>
      <w:bookmarkEnd w:id="6"/>
      <w:bookmarkEnd w:id="7"/>
      <w:bookmarkEnd w:id="8"/>
    </w:p>
    <w:tbl>
      <w:tblPr>
        <w:tblW w:w="4063" w:type="dxa"/>
        <w:jc w:val="left"/>
        <w:tblInd w:w="0" w:type="dxa"/>
        <w:tblLayout w:type="fixed"/>
        <w:tblCellMar>
          <w:top w:w="0" w:type="dxa"/>
          <w:left w:w="0" w:type="dxa"/>
          <w:bottom w:w="28" w:type="dxa"/>
          <w:right w:w="0" w:type="dxa"/>
        </w:tblCellMar>
      </w:tblPr>
      <w:tblGrid>
        <w:gridCol w:w="2236"/>
        <w:gridCol w:w="326"/>
        <w:gridCol w:w="1501"/>
      </w:tblGrid>
      <w:tr>
        <w:trPr/>
        <w:tc>
          <w:tcPr>
            <w:tcW w:w="223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150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83-3583873</w:t>
            </w:r>
          </w:p>
        </w:tc>
      </w:tr>
      <w:tr>
        <w:trPr/>
        <w:tc>
          <w:tcPr>
            <w:tcW w:w="223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incorporation or organization)</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150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br/>
              <w:t>Identification No.) </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3796" w:type="dxa"/>
        <w:jc w:val="left"/>
        <w:tblInd w:w="0" w:type="dxa"/>
        <w:tblLayout w:type="fixed"/>
        <w:tblCellMar>
          <w:top w:w="0" w:type="dxa"/>
          <w:left w:w="0" w:type="dxa"/>
          <w:bottom w:w="0" w:type="dxa"/>
          <w:right w:w="0" w:type="dxa"/>
        </w:tblCellMar>
      </w:tblPr>
      <w:tblGrid>
        <w:gridCol w:w="3796"/>
      </w:tblGrid>
      <w:tr>
        <w:trPr/>
        <w:tc>
          <w:tcPr>
            <w:tcW w:w="379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888 San Clemente Drive, Suite 400</w:t>
            </w:r>
          </w:p>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b/>
                <w:sz w:val="18"/>
              </w:rPr>
              <w:t>Newport Beach, CA</w:t>
            </w:r>
            <w:r>
              <w:rPr>
                <w:rFonts w:ascii="Times New Roman;Times;serif" w:hAnsi="Times New Roman;Times;serif"/>
                <w:sz w:val="22"/>
              </w:rPr>
              <w:t xml:space="preserve"> </w:t>
            </w:r>
            <w:r>
              <w:rPr>
                <w:rFonts w:ascii="Times New Roman;Times;serif" w:hAnsi="Times New Roman;Times;serif"/>
                <w:b/>
                <w:sz w:val="22"/>
              </w:rPr>
              <w:t>92660</w:t>
            </w:r>
          </w:p>
        </w:tc>
      </w:tr>
      <w:tr>
        <w:trPr/>
        <w:tc>
          <w:tcPr>
            <w:tcW w:w="37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 (Zip Code)</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3901" w:type="dxa"/>
        <w:jc w:val="left"/>
        <w:tblInd w:w="0" w:type="dxa"/>
        <w:tblLayout w:type="fixed"/>
        <w:tblCellMar>
          <w:top w:w="0" w:type="dxa"/>
          <w:left w:w="0" w:type="dxa"/>
          <w:bottom w:w="0" w:type="dxa"/>
          <w:right w:w="0" w:type="dxa"/>
        </w:tblCellMar>
      </w:tblPr>
      <w:tblGrid>
        <w:gridCol w:w="3901"/>
      </w:tblGrid>
      <w:tr>
        <w:trPr/>
        <w:tc>
          <w:tcPr>
            <w:tcW w:w="390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(949) 720-5700</w:t>
            </w:r>
          </w:p>
        </w:tc>
      </w:tr>
      <w:tr>
        <w:trPr/>
        <w:tc>
          <w:tcPr>
            <w:tcW w:w="39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240"/>
        <w:ind w:left="0" w:right="0" w:hanging="0"/>
        <w:jc w:val="center"/>
        <w:rPr/>
      </w:pPr>
      <w:r>
        <w:rPr/>
        <w:t>​</w:t>
      </w:r>
    </w:p>
    <w:p>
      <w:pPr>
        <w:pStyle w:val="TextBody"/>
        <w:bidi w:val="0"/>
        <w:spacing w:before="0" w:after="120"/>
        <w:ind w:left="0" w:right="0" w:hanging="0"/>
        <w:jc w:val="both"/>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9" w:name="Tc_uGvMHzL0qkK05BJ5-fD98Q_3_4"/>
      <w:bookmarkStart w:id="10" w:name="Tc_VUNh1Pdmo0O7A4TLctHGsg_2_4"/>
      <w:bookmarkStart w:id="11" w:name="Tc_NsaaZw9Rv0S2dAZ52uOq4Q_1_4"/>
      <w:bookmarkStart w:id="12" w:name="Tc_QwetrG23d06Rg1QVaQUxhg_0_4"/>
      <w:bookmarkStart w:id="13" w:name="Tc_ZebJOp6V40KjEdgYH4nOFA_0_2"/>
      <w:bookmarkStart w:id="14" w:name="Tc_brN2NeDnKE-bkVo5L7KA5g_0_0"/>
      <w:bookmarkStart w:id="15" w:name="_0a818cc8_7898_444b_9b22_9e4216a38eac"/>
      <w:bookmarkStart w:id="16" w:name="Tc_uGvMHzL0qkK05BJ5-fD98Q_3_4"/>
      <w:bookmarkStart w:id="17" w:name="Tc_VUNh1Pdmo0O7A4TLctHGsg_2_4"/>
      <w:bookmarkStart w:id="18" w:name="Tc_NsaaZw9Rv0S2dAZ52uOq4Q_1_4"/>
      <w:bookmarkStart w:id="19" w:name="Tc_QwetrG23d06Rg1QVaQUxhg_0_4"/>
      <w:bookmarkStart w:id="20" w:name="Tc_ZebJOp6V40KjEdgYH4nOFA_0_2"/>
      <w:bookmarkStart w:id="21" w:name="Tc_brN2NeDnKE-bkVo5L7KA5g_0_0"/>
      <w:bookmarkStart w:id="22" w:name="_0a818cc8_7898_444b_9b22_9e4216a38eac"/>
      <w:bookmarkEnd w:id="16"/>
      <w:bookmarkEnd w:id="17"/>
      <w:bookmarkEnd w:id="18"/>
      <w:bookmarkEnd w:id="19"/>
      <w:bookmarkEnd w:id="20"/>
      <w:bookmarkEnd w:id="21"/>
      <w:bookmarkEnd w:id="22"/>
    </w:p>
    <w:tbl>
      <w:tblPr>
        <w:tblW w:w="6790" w:type="dxa"/>
        <w:jc w:val="left"/>
        <w:tblInd w:w="0" w:type="dxa"/>
        <w:tblLayout w:type="fixed"/>
        <w:tblCellMar>
          <w:top w:w="0" w:type="dxa"/>
          <w:left w:w="0" w:type="dxa"/>
          <w:bottom w:w="28" w:type="dxa"/>
          <w:right w:w="0" w:type="dxa"/>
        </w:tblCellMar>
      </w:tblPr>
      <w:tblGrid>
        <w:gridCol w:w="1456"/>
        <w:gridCol w:w="146"/>
        <w:gridCol w:w="1561"/>
        <w:gridCol w:w="146"/>
        <w:gridCol w:w="3481"/>
      </w:tblGrid>
      <w:tr>
        <w:trPr/>
        <w:tc>
          <w:tcPr>
            <w:tcW w:w="145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156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348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145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156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ROCG</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348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Stock Market LLC</w:t>
            </w:r>
          </w:p>
        </w:tc>
      </w:tr>
      <w:tr>
        <w:trPr/>
        <w:tc>
          <w:tcPr>
            <w:tcW w:w="145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Warrants</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156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ROCGW</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348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Stock Market LLC</w:t>
            </w:r>
          </w:p>
        </w:tc>
      </w:tr>
      <w:tr>
        <w:trPr/>
        <w:tc>
          <w:tcPr>
            <w:tcW w:w="145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Units</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156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ROCGU</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348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firstLine="720"/>
        <w:jc w:val="both"/>
        <w:rPr/>
      </w:pPr>
      <w:r>
        <w:rPr/>
        <w:t>​</w:t>
      </w:r>
    </w:p>
    <w:p>
      <w:pPr>
        <w:pStyle w:val="Normal"/>
        <w:bidi w:val="0"/>
        <w:spacing w:before="0" w:after="0"/>
        <w:jc w:val="left"/>
        <w:rPr>
          <w:sz w:val="4"/>
          <w:szCs w:val="4"/>
        </w:rPr>
      </w:pPr>
      <w:r>
        <w:rPr>
          <w:sz w:val="4"/>
          <w:szCs w:val="4"/>
        </w:rPr>
      </w:r>
      <w:bookmarkStart w:id="23" w:name="Tc_2kfXZAyZ0USTwGBCtq53vA_3_2"/>
      <w:bookmarkStart w:id="24" w:name="Tc_oQcciuY4WEmYNXgCrydtpA_2_2"/>
      <w:bookmarkStart w:id="25" w:name="Tc_uGJX0KZpMU-x5SEo7ACU1Q_2_1"/>
      <w:bookmarkStart w:id="26" w:name="Tc_HWBy7azkkkCx5OnFyePhfw_1_3"/>
      <w:bookmarkStart w:id="27" w:name="Tc_7dEpMHsQZ0KETX1O2oAGJw_1_2"/>
      <w:bookmarkStart w:id="28" w:name="Tc_HuBL38NuXkixY-UeArv2Rg_1_1"/>
      <w:bookmarkStart w:id="29" w:name="Tc_NAX3lP7PY0SVT5fWpCYuww_1_0"/>
      <w:bookmarkStart w:id="30" w:name="_b5b401d8_0e4b_4838_97db_719af2f57df6"/>
      <w:bookmarkStart w:id="31" w:name="Tc_2kfXZAyZ0USTwGBCtq53vA_3_2"/>
      <w:bookmarkStart w:id="32" w:name="Tc_oQcciuY4WEmYNXgCrydtpA_2_2"/>
      <w:bookmarkStart w:id="33" w:name="Tc_uGJX0KZpMU-x5SEo7ACU1Q_2_1"/>
      <w:bookmarkStart w:id="34" w:name="Tc_HWBy7azkkkCx5OnFyePhfw_1_3"/>
      <w:bookmarkStart w:id="35" w:name="Tc_7dEpMHsQZ0KETX1O2oAGJw_1_2"/>
      <w:bookmarkStart w:id="36" w:name="Tc_HuBL38NuXkixY-UeArv2Rg_1_1"/>
      <w:bookmarkStart w:id="37" w:name="Tc_NAX3lP7PY0SVT5fWpCYuww_1_0"/>
      <w:bookmarkStart w:id="38" w:name="_b5b401d8_0e4b_4838_97db_719af2f57df6"/>
      <w:bookmarkEnd w:id="31"/>
      <w:bookmarkEnd w:id="32"/>
      <w:bookmarkEnd w:id="33"/>
      <w:bookmarkEnd w:id="34"/>
      <w:bookmarkEnd w:id="35"/>
      <w:bookmarkEnd w:id="36"/>
      <w:bookmarkEnd w:id="37"/>
      <w:bookmarkEnd w:id="38"/>
    </w:p>
    <w:tbl>
      <w:tblPr>
        <w:tblW w:w="4804" w:type="dxa"/>
        <w:jc w:val="left"/>
        <w:tblInd w:w="0" w:type="dxa"/>
        <w:tblLayout w:type="fixed"/>
        <w:tblCellMar>
          <w:top w:w="0" w:type="dxa"/>
          <w:left w:w="0" w:type="dxa"/>
          <w:bottom w:w="0" w:type="dxa"/>
          <w:right w:w="0" w:type="dxa"/>
        </w:tblCellMar>
      </w:tblPr>
      <w:tblGrid>
        <w:gridCol w:w="1816"/>
        <w:gridCol w:w="316"/>
        <w:gridCol w:w="2311"/>
        <w:gridCol w:w="361"/>
      </w:tblGrid>
      <w:tr>
        <w:trPr/>
        <w:tc>
          <w:tcPr>
            <w:tcW w:w="181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24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As of May 11, 2023, there were 5,714,749 shares of common stock, $0.0001 par value, issued and outstanding.</w:t>
      </w:r>
    </w:p>
    <w:p>
      <w:pPr>
        <w:pStyle w:val="TextBody"/>
        <w:bidi w:val="0"/>
        <w:spacing w:before="0" w:after="240"/>
        <w:ind w:left="0" w:right="0" w:firstLine="720"/>
        <w:jc w:val="both"/>
        <w:rPr/>
      </w:pPr>
      <w:r>
        <w:rPr/>
        <w:t>​</w:t>
      </w:r>
    </w:p>
    <w:p>
      <w:pPr>
        <w:pStyle w:val="TextBody"/>
        <w:pBdr>
          <w:top w:val="single" w:sz="2" w:space="1" w:color="000000"/>
          <w:bottom w:val="single" w:sz="24" w:space="1" w:color="000000"/>
        </w:pBdr>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9" w:name="_25071d37_1aff_4d60_bb33_7f5a20dfac2d"/>
      <w:bookmarkEnd w:id="39"/>
      <w:r>
        <w:rPr>
          <w:rFonts w:ascii="Times New Roman;Times;serif" w:hAnsi="Times New Roman;Times;serif"/>
          <w:b/>
          <w:sz w:val="20"/>
        </w:rPr>
        <w:t>ROTH CH ACQUISITION IV CO.</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 FOR THE QUARTERLY PERIOD ENDED MARCH 31, 2023</w:t>
      </w:r>
    </w:p>
    <w:p>
      <w:pPr>
        <w:pStyle w:val="TextBody"/>
        <w:bidi w:val="0"/>
        <w:spacing w:before="0" w:after="0"/>
        <w:ind w:left="0" w:right="0" w:hanging="0"/>
        <w:jc w:val="center"/>
        <w:rPr>
          <w:rFonts w:ascii="Times New Roman;Times;serif" w:hAnsi="Times New Roman;Times;serif"/>
          <w:b/>
          <w:sz w:val="20"/>
        </w:rPr>
      </w:pPr>
      <w:bookmarkStart w:id="40" w:name="TOC"/>
      <w:bookmarkEnd w:id="40"/>
      <w:r>
        <w:rPr>
          <w:rFonts w:ascii="Times New Roman;Times;serif" w:hAnsi="Times New Roman;Times;serif"/>
          <w:b/>
          <w:sz w:val="20"/>
        </w:rPr>
        <w:t>TABLE OF CONTENTS</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5184"/>
        <w:gridCol w:w="4509"/>
        <w:gridCol w:w="512"/>
      </w:tblGrid>
      <w:tr>
        <w:trPr/>
        <w:tc>
          <w:tcPr>
            <w:tcW w:w="5184" w:type="dxa"/>
            <w:tcBorders/>
            <w:vAlign w:val="center"/>
          </w:tcPr>
          <w:p>
            <w:pPr>
              <w:pStyle w:val="TableContents"/>
              <w:bidi w:val="0"/>
              <w:spacing w:before="0" w:after="0"/>
              <w:ind w:left="0" w:right="0" w:hanging="0"/>
              <w:jc w:val="left"/>
              <w:rPr/>
            </w:pPr>
            <w:r>
              <w:rPr/>
              <w:t>​</w:t>
            </w:r>
          </w:p>
        </w:tc>
        <w:tc>
          <w:tcPr>
            <w:tcW w:w="4509" w:type="dxa"/>
            <w:tcBorders/>
            <w:vAlign w:val="center"/>
          </w:tcPr>
          <w:p>
            <w:pPr>
              <w:pStyle w:val="TableContents"/>
              <w:bidi w:val="0"/>
              <w:spacing w:before="0" w:after="0"/>
              <w:ind w:left="0" w:right="0" w:hanging="0"/>
              <w:jc w:val="left"/>
              <w:rPr/>
            </w:pPr>
            <w:r>
              <w:rPr/>
              <w:t>​</w:t>
            </w:r>
          </w:p>
        </w:tc>
        <w:tc>
          <w:tcPr>
            <w:tcW w:w="5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693" w:type="dxa"/>
            <w:gridSpan w:val="2"/>
            <w:tcBorders/>
            <w:vAlign w:val="center"/>
          </w:tcPr>
          <w:p>
            <w:pPr>
              <w:pStyle w:val="TableContents"/>
              <w:pBdr/>
              <w:bidi w:val="0"/>
              <w:spacing w:before="0" w:after="0"/>
              <w:ind w:left="0" w:right="0" w:hanging="0"/>
              <w:jc w:val="left"/>
              <w:rPr/>
            </w:pPr>
            <w:hyperlink w:anchor="PARTIFINANCIALINFORMATION_780683">
              <w:r>
                <w:rPr>
                  <w:rStyle w:val="InternetLink"/>
                  <w:rFonts w:ascii="Times New Roman;Times;serif" w:hAnsi="Times New Roman;Times;serif"/>
                  <w:b w:val="false"/>
                  <w:i w:val="false"/>
                  <w:caps w:val="false"/>
                  <w:smallCaps w:val="false"/>
                  <w:sz w:val="20"/>
                </w:rPr>
                <w:t>Part I. Financial Information</w:t>
              </w:r>
            </w:hyperlink>
          </w:p>
        </w:tc>
        <w:tc>
          <w:tcPr>
            <w:tcW w:w="512"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9693" w:type="dxa"/>
            <w:gridSpan w:val="2"/>
            <w:tcBorders/>
            <w:vAlign w:val="center"/>
          </w:tcPr>
          <w:p>
            <w:pPr>
              <w:pStyle w:val="TableContents"/>
              <w:pBdr/>
              <w:bidi w:val="0"/>
              <w:spacing w:before="0" w:after="0"/>
              <w:ind w:left="0" w:right="0" w:hanging="0"/>
              <w:jc w:val="left"/>
              <w:rPr/>
            </w:pPr>
            <w:hyperlink w:anchor="Item1FinancialStatements_583085">
              <w:r>
                <w:rPr>
                  <w:rStyle w:val="InternetLink"/>
                  <w:rFonts w:ascii="Times New Roman;Times;serif" w:hAnsi="Times New Roman;Times;serif"/>
                  <w:b w:val="false"/>
                  <w:i w:val="false"/>
                  <w:caps w:val="false"/>
                  <w:smallCaps w:val="false"/>
                  <w:sz w:val="20"/>
                </w:rPr>
                <w:t>Item 1. Financial Statements</w:t>
              </w:r>
            </w:hyperlink>
          </w:p>
        </w:tc>
        <w:tc>
          <w:tcPr>
            <w:tcW w:w="512" w:type="dxa"/>
            <w:tcBorders/>
            <w:vAlign w:val="center"/>
          </w:tcPr>
          <w:p>
            <w:pPr>
              <w:pStyle w:val="TableContents"/>
              <w:bidi w:val="0"/>
              <w:spacing w:before="0" w:after="0"/>
              <w:ind w:left="0" w:right="0" w:hanging="0"/>
              <w:jc w:val="center"/>
              <w:rPr/>
            </w:pPr>
            <w:r>
              <w:rPr/>
              <w:t>​</w:t>
            </w:r>
          </w:p>
        </w:tc>
      </w:tr>
      <w:tr>
        <w:trPr/>
        <w:tc>
          <w:tcPr>
            <w:tcW w:w="9693" w:type="dxa"/>
            <w:gridSpan w:val="2"/>
            <w:tcBorders/>
            <w:vAlign w:val="center"/>
          </w:tcPr>
          <w:p>
            <w:pPr>
              <w:pStyle w:val="TableContents"/>
              <w:pBdr/>
              <w:bidi w:val="0"/>
              <w:spacing w:before="0" w:after="0"/>
              <w:ind w:left="0" w:right="0" w:hanging="0"/>
              <w:jc w:val="left"/>
              <w:rPr/>
            </w:pPr>
            <w:hyperlink w:anchor="CONDENSEDBALANCESHEET_518709">
              <w:r>
                <w:rPr>
                  <w:rStyle w:val="InternetLink"/>
                  <w:rFonts w:ascii="Times New Roman;Times;serif" w:hAnsi="Times New Roman;Times;serif"/>
                  <w:b w:val="false"/>
                  <w:i w:val="false"/>
                  <w:caps w:val="false"/>
                  <w:smallCaps w:val="false"/>
                  <w:sz w:val="20"/>
                </w:rPr>
                <w:t>Condensed Consolidated Balance Sheets as of March 31, 2023 (Unaudited) and December 31, 2022</w:t>
              </w:r>
            </w:hyperlink>
          </w:p>
        </w:tc>
        <w:tc>
          <w:tcPr>
            <w:tcW w:w="51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9693" w:type="dxa"/>
            <w:gridSpan w:val="2"/>
            <w:tcBorders/>
            <w:vAlign w:val="center"/>
          </w:tcPr>
          <w:p>
            <w:pPr>
              <w:pStyle w:val="TableContents"/>
              <w:pBdr/>
              <w:bidi w:val="0"/>
              <w:spacing w:before="0" w:after="0"/>
              <w:ind w:left="0" w:right="0" w:hanging="0"/>
              <w:jc w:val="left"/>
              <w:rPr/>
            </w:pPr>
            <w:hyperlink w:anchor="CONDENSEDSTATEMENTOFOPERATIONS_333302">
              <w:r>
                <w:rPr>
                  <w:rStyle w:val="InternetLink"/>
                  <w:rFonts w:ascii="Times New Roman;Times;serif" w:hAnsi="Times New Roman;Times;serif"/>
                  <w:b w:val="false"/>
                  <w:i w:val="false"/>
                  <w:caps w:val="false"/>
                  <w:smallCaps w:val="false"/>
                  <w:sz w:val="20"/>
                </w:rPr>
                <w:t>Condensed Consolidated Statements of Operations for the Three months Ended March 31, 2023 and 2022 (Unaudited)</w:t>
              </w:r>
            </w:hyperlink>
          </w:p>
        </w:tc>
        <w:tc>
          <w:tcPr>
            <w:tcW w:w="51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9693" w:type="dxa"/>
            <w:gridSpan w:val="2"/>
            <w:tcBorders/>
            <w:vAlign w:val="center"/>
          </w:tcPr>
          <w:p>
            <w:pPr>
              <w:pStyle w:val="TableContents"/>
              <w:pBdr/>
              <w:bidi w:val="0"/>
              <w:spacing w:before="0" w:after="0"/>
              <w:ind w:left="0" w:right="0" w:hanging="0"/>
              <w:jc w:val="left"/>
              <w:rPr/>
            </w:pPr>
            <w:hyperlink w:anchor="CONDENSEDSTATEMENTOFCHANGESINSTOCKHOLDER">
              <w:r>
                <w:rPr>
                  <w:rStyle w:val="InternetLink"/>
                  <w:rFonts w:ascii="Times New Roman;Times;serif" w:hAnsi="Times New Roman;Times;serif"/>
                  <w:b w:val="false"/>
                  <w:i w:val="false"/>
                  <w:caps w:val="false"/>
                  <w:smallCaps w:val="false"/>
                  <w:sz w:val="20"/>
                </w:rPr>
                <w:t>Condensed Consolidated Statements of Changes in Stockholders’ (Deficit) Equity for the Three months Ended March 31, 2023 and 2022 (Unaudited)</w:t>
              </w:r>
            </w:hyperlink>
          </w:p>
        </w:tc>
        <w:tc>
          <w:tcPr>
            <w:tcW w:w="51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693" w:type="dxa"/>
            <w:gridSpan w:val="2"/>
            <w:tcBorders/>
            <w:vAlign w:val="center"/>
          </w:tcPr>
          <w:p>
            <w:pPr>
              <w:pStyle w:val="TableContents"/>
              <w:pBdr/>
              <w:bidi w:val="0"/>
              <w:spacing w:before="0" w:after="0"/>
              <w:ind w:left="0" w:right="0" w:hanging="0"/>
              <w:jc w:val="left"/>
              <w:rPr/>
            </w:pPr>
            <w:hyperlink w:anchor="CONDENSEDSTATEMENTOFCASHFLOWS_840567">
              <w:r>
                <w:rPr>
                  <w:rStyle w:val="InternetLink"/>
                  <w:rFonts w:ascii="Times New Roman;Times;serif" w:hAnsi="Times New Roman;Times;serif"/>
                  <w:b w:val="false"/>
                  <w:i w:val="false"/>
                  <w:caps w:val="false"/>
                  <w:smallCaps w:val="false"/>
                  <w:sz w:val="20"/>
                </w:rPr>
                <w:t>Condensed Consolidated Statements of Cash Flows for the Three months Ended March 31, 2023 and 2022 (Unaudited)</w:t>
              </w:r>
            </w:hyperlink>
          </w:p>
        </w:tc>
        <w:tc>
          <w:tcPr>
            <w:tcW w:w="51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9693" w:type="dxa"/>
            <w:gridSpan w:val="2"/>
            <w:tcBorders/>
            <w:vAlign w:val="center"/>
          </w:tcPr>
          <w:p>
            <w:pPr>
              <w:pStyle w:val="TableContents"/>
              <w:pBdr/>
              <w:bidi w:val="0"/>
              <w:spacing w:before="0" w:after="0"/>
              <w:ind w:left="0" w:right="0" w:hanging="0"/>
              <w:jc w:val="left"/>
              <w:rPr/>
            </w:pPr>
            <w:hyperlink w:anchor="NOTE1DESCRIPTIONOFORGANIZATIONBUSINESSOP">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1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9693" w:type="dxa"/>
            <w:gridSpan w:val="2"/>
            <w:tcBorders/>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1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r>
      <w:tr>
        <w:trPr/>
        <w:tc>
          <w:tcPr>
            <w:tcW w:w="9693" w:type="dxa"/>
            <w:gridSpan w:val="2"/>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1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9693" w:type="dxa"/>
            <w:gridSpan w:val="2"/>
            <w:tcBorders/>
            <w:vAlign w:val="center"/>
          </w:tcPr>
          <w:p>
            <w:pPr>
              <w:pStyle w:val="TableContents"/>
              <w:pBdr/>
              <w:bidi w:val="0"/>
              <w:spacing w:before="0" w:after="0"/>
              <w:ind w:left="0" w:right="0" w:hanging="0"/>
              <w:jc w:val="left"/>
              <w:rPr/>
            </w:pPr>
            <w:hyperlink w:anchor="Item4ControlsandProcedures_644466">
              <w:r>
                <w:rPr>
                  <w:rStyle w:val="InternetLink"/>
                  <w:rFonts w:ascii="Times New Roman;Times;serif" w:hAnsi="Times New Roman;Times;serif"/>
                  <w:b w:val="false"/>
                  <w:i w:val="false"/>
                  <w:caps w:val="false"/>
                  <w:smallCaps w:val="false"/>
                  <w:sz w:val="20"/>
                </w:rPr>
                <w:t>Item 4. Controls and Procedures</w:t>
              </w:r>
            </w:hyperlink>
          </w:p>
        </w:tc>
        <w:tc>
          <w:tcPr>
            <w:tcW w:w="51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9693" w:type="dxa"/>
            <w:gridSpan w:val="2"/>
            <w:tcBorders/>
            <w:vAlign w:val="center"/>
          </w:tcPr>
          <w:p>
            <w:pPr>
              <w:pStyle w:val="TableContents"/>
              <w:pBdr/>
              <w:bidi w:val="0"/>
              <w:spacing w:before="0" w:after="0"/>
              <w:ind w:left="0" w:right="0" w:hanging="0"/>
              <w:jc w:val="left"/>
              <w:rPr/>
            </w:pPr>
            <w:hyperlink w:anchor="PARTIIOTHERINFORMATION_160560">
              <w:r>
                <w:rPr>
                  <w:rStyle w:val="InternetLink"/>
                  <w:rFonts w:ascii="Times New Roman;Times;serif" w:hAnsi="Times New Roman;Times;serif"/>
                  <w:b w:val="false"/>
                  <w:i w:val="false"/>
                  <w:caps w:val="false"/>
                  <w:smallCaps w:val="false"/>
                  <w:sz w:val="20"/>
                </w:rPr>
                <w:t>Part II. Other Information</w:t>
              </w:r>
            </w:hyperlink>
          </w:p>
        </w:tc>
        <w:tc>
          <w:tcPr>
            <w:tcW w:w="512" w:type="dxa"/>
            <w:tcBorders/>
            <w:vAlign w:val="center"/>
          </w:tcPr>
          <w:p>
            <w:pPr>
              <w:pStyle w:val="TableContents"/>
              <w:bidi w:val="0"/>
              <w:spacing w:before="0" w:after="0"/>
              <w:ind w:left="0" w:right="0" w:hanging="0"/>
              <w:jc w:val="center"/>
              <w:rPr/>
            </w:pPr>
            <w:r>
              <w:rPr/>
              <w:t>​</w:t>
            </w:r>
          </w:p>
        </w:tc>
      </w:tr>
      <w:tr>
        <w:trPr/>
        <w:tc>
          <w:tcPr>
            <w:tcW w:w="9693" w:type="dxa"/>
            <w:gridSpan w:val="2"/>
            <w:tcBorders/>
            <w:vAlign w:val="center"/>
          </w:tcPr>
          <w:p>
            <w:pPr>
              <w:pStyle w:val="TableContents"/>
              <w:pBdr/>
              <w:bidi w:val="0"/>
              <w:spacing w:before="0" w:after="0"/>
              <w:ind w:left="0" w:right="0" w:hanging="0"/>
              <w:jc w:val="left"/>
              <w:rPr/>
            </w:pPr>
            <w:hyperlink w:anchor="Item1LegalProceedings_505315">
              <w:r>
                <w:rPr>
                  <w:rStyle w:val="InternetLink"/>
                  <w:rFonts w:ascii="Times New Roman;Times;serif" w:hAnsi="Times New Roman;Times;serif"/>
                  <w:b w:val="false"/>
                  <w:i w:val="false"/>
                  <w:caps w:val="false"/>
                  <w:smallCaps w:val="false"/>
                  <w:sz w:val="20"/>
                </w:rPr>
                <w:t>Item 1. Legal Proceedings</w:t>
              </w:r>
            </w:hyperlink>
          </w:p>
        </w:tc>
        <w:tc>
          <w:tcPr>
            <w:tcW w:w="51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9693" w:type="dxa"/>
            <w:gridSpan w:val="2"/>
            <w:tcBorders/>
            <w:vAlign w:val="center"/>
          </w:tcPr>
          <w:p>
            <w:pPr>
              <w:pStyle w:val="TableContents"/>
              <w:pBdr/>
              <w:bidi w:val="0"/>
              <w:spacing w:before="0" w:after="0"/>
              <w:ind w:left="0" w:right="0" w:hanging="0"/>
              <w:jc w:val="left"/>
              <w:rPr/>
            </w:pPr>
            <w:hyperlink w:anchor="Item1ARiskFactors_597986">
              <w:r>
                <w:rPr>
                  <w:rStyle w:val="InternetLink"/>
                  <w:rFonts w:ascii="Times New Roman;Times;serif" w:hAnsi="Times New Roman;Times;serif"/>
                  <w:b w:val="false"/>
                  <w:i w:val="false"/>
                  <w:caps w:val="false"/>
                  <w:smallCaps w:val="false"/>
                  <w:sz w:val="20"/>
                </w:rPr>
                <w:t>Item 1A. Risk Factors</w:t>
              </w:r>
            </w:hyperlink>
          </w:p>
        </w:tc>
        <w:tc>
          <w:tcPr>
            <w:tcW w:w="51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9693" w:type="dxa"/>
            <w:gridSpan w:val="2"/>
            <w:tcBorders/>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1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9693" w:type="dxa"/>
            <w:gridSpan w:val="2"/>
            <w:tcBorders/>
            <w:vAlign w:val="center"/>
          </w:tcPr>
          <w:p>
            <w:pPr>
              <w:pStyle w:val="TableContents"/>
              <w:pBdr/>
              <w:bidi w:val="0"/>
              <w:spacing w:before="0" w:after="0"/>
              <w:ind w:left="0" w:right="0" w:hanging="0"/>
              <w:jc w:val="left"/>
              <w:rPr/>
            </w:pPr>
            <w:hyperlink w:anchor="Item3DefaultsUponSeniorSecurities_652762">
              <w:r>
                <w:rPr>
                  <w:rStyle w:val="InternetLink"/>
                  <w:rFonts w:ascii="Times New Roman;Times;serif" w:hAnsi="Times New Roman;Times;serif"/>
                  <w:b w:val="false"/>
                  <w:i w:val="false"/>
                  <w:caps w:val="false"/>
                  <w:smallCaps w:val="false"/>
                  <w:sz w:val="20"/>
                </w:rPr>
                <w:t>Item 3. Defaults Upon Senior Securities</w:t>
              </w:r>
            </w:hyperlink>
          </w:p>
        </w:tc>
        <w:tc>
          <w:tcPr>
            <w:tcW w:w="51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9693" w:type="dxa"/>
            <w:gridSpan w:val="2"/>
            <w:tcBorders/>
            <w:vAlign w:val="center"/>
          </w:tcPr>
          <w:p>
            <w:pPr>
              <w:pStyle w:val="TableContents"/>
              <w:pBdr/>
              <w:bidi w:val="0"/>
              <w:spacing w:before="0" w:after="0"/>
              <w:ind w:left="0" w:right="0" w:hanging="0"/>
              <w:jc w:val="left"/>
              <w:rPr/>
            </w:pPr>
            <w:hyperlink w:anchor="Item4MineSafetyDisclosures_545250">
              <w:r>
                <w:rPr>
                  <w:rStyle w:val="InternetLink"/>
                  <w:rFonts w:ascii="Times New Roman;Times;serif" w:hAnsi="Times New Roman;Times;serif"/>
                  <w:b w:val="false"/>
                  <w:i w:val="false"/>
                  <w:caps w:val="false"/>
                  <w:smallCaps w:val="false"/>
                  <w:sz w:val="20"/>
                </w:rPr>
                <w:t>Item 4. Mine Safety Disclosures</w:t>
              </w:r>
            </w:hyperlink>
          </w:p>
        </w:tc>
        <w:tc>
          <w:tcPr>
            <w:tcW w:w="51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9693" w:type="dxa"/>
            <w:gridSpan w:val="2"/>
            <w:tcBorders/>
            <w:vAlign w:val="center"/>
          </w:tcPr>
          <w:p>
            <w:pPr>
              <w:pStyle w:val="TableContents"/>
              <w:pBdr/>
              <w:bidi w:val="0"/>
              <w:spacing w:before="0" w:after="0"/>
              <w:ind w:left="0" w:right="0" w:hanging="0"/>
              <w:jc w:val="left"/>
              <w:rPr/>
            </w:pPr>
            <w:hyperlink w:anchor="Item5OtherInformation_111835">
              <w:r>
                <w:rPr>
                  <w:rStyle w:val="InternetLink"/>
                  <w:rFonts w:ascii="Times New Roman;Times;serif" w:hAnsi="Times New Roman;Times;serif"/>
                  <w:b w:val="false"/>
                  <w:i w:val="false"/>
                  <w:caps w:val="false"/>
                  <w:smallCaps w:val="false"/>
                  <w:sz w:val="20"/>
                </w:rPr>
                <w:t>Item 5. Other Information</w:t>
              </w:r>
            </w:hyperlink>
          </w:p>
        </w:tc>
        <w:tc>
          <w:tcPr>
            <w:tcW w:w="51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9693" w:type="dxa"/>
            <w:gridSpan w:val="2"/>
            <w:tcBorders/>
            <w:vAlign w:val="center"/>
          </w:tcPr>
          <w:p>
            <w:pPr>
              <w:pStyle w:val="TableContents"/>
              <w:pBdr/>
              <w:bidi w:val="0"/>
              <w:spacing w:before="0" w:after="0"/>
              <w:ind w:left="0" w:right="0" w:hanging="0"/>
              <w:jc w:val="left"/>
              <w:rPr/>
            </w:pPr>
            <w:hyperlink w:anchor="Item6Exhibits_577332">
              <w:r>
                <w:rPr>
                  <w:rStyle w:val="InternetLink"/>
                  <w:rFonts w:ascii="Times New Roman;Times;serif" w:hAnsi="Times New Roman;Times;serif"/>
                  <w:b w:val="false"/>
                  <w:i w:val="false"/>
                  <w:caps w:val="false"/>
                  <w:smallCaps w:val="false"/>
                  <w:sz w:val="20"/>
                </w:rPr>
                <w:t>Item 6. Exhibits</w:t>
              </w:r>
            </w:hyperlink>
          </w:p>
        </w:tc>
        <w:tc>
          <w:tcPr>
            <w:tcW w:w="51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9693" w:type="dxa"/>
            <w:gridSpan w:val="2"/>
            <w:tcBorders/>
            <w:vAlign w:val="center"/>
          </w:tcPr>
          <w:p>
            <w:pPr>
              <w:pStyle w:val="TableContents"/>
              <w:pBdr/>
              <w:bidi w:val="0"/>
              <w:spacing w:before="0" w:after="0"/>
              <w:ind w:left="0" w:right="0" w:hanging="0"/>
              <w:jc w:val="left"/>
              <w:rPr/>
            </w:pPr>
            <w:hyperlink w:anchor="SIGNATURES_22012">
              <w:r>
                <w:rPr>
                  <w:rStyle w:val="InternetLink"/>
                  <w:rFonts w:ascii="Times New Roman;Times;serif" w:hAnsi="Times New Roman;Times;serif"/>
                  <w:b w:val="false"/>
                  <w:i w:val="false"/>
                  <w:caps w:val="false"/>
                  <w:smallCaps w:val="false"/>
                  <w:sz w:val="20"/>
                </w:rPr>
                <w:t>Signatures</w:t>
              </w:r>
            </w:hyperlink>
          </w:p>
        </w:tc>
        <w:tc>
          <w:tcPr>
            <w:tcW w:w="51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PARTIFINANCIALINFORMATION_780683"/>
      <w:bookmarkStart w:id="42" w:name="_eff52c90_0929_4eae_8d77_eaf7ede8979c"/>
      <w:bookmarkEnd w:id="41"/>
      <w:bookmarkEnd w:id="42"/>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43" w:name="Item1FinancialStatements_583085"/>
      <w:bookmarkEnd w:id="43"/>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ROTH CH ACQUISITION IV CO.</w:t>
      </w:r>
    </w:p>
    <w:p>
      <w:pPr>
        <w:pStyle w:val="TextBody"/>
        <w:bidi w:val="0"/>
        <w:spacing w:before="0" w:after="0"/>
        <w:ind w:left="0" w:right="0" w:hanging="0"/>
        <w:jc w:val="center"/>
        <w:rPr>
          <w:rFonts w:ascii="Times New Roman;Times;serif" w:hAnsi="Times New Roman;Times;serif"/>
          <w:b/>
          <w:sz w:val="20"/>
        </w:rPr>
      </w:pPr>
      <w:bookmarkStart w:id="44" w:name="CONDENSEDBALANCESHEET_518709"/>
      <w:bookmarkStart w:id="45" w:name="_48698"/>
      <w:bookmarkEnd w:id="44"/>
      <w:bookmarkEnd w:id="45"/>
      <w:r>
        <w:rPr>
          <w:rFonts w:ascii="Times New Roman;Times;serif" w:hAnsi="Times New Roman;Times;serif"/>
          <w:b/>
          <w:sz w:val="20"/>
        </w:rPr>
        <w:t>CONDENSED CONSOLIDATED BALANCE SHEETS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6" w:name="Tc_Z_pyQ5xLRkmsjxAJrhhp4A_29_5"/>
      <w:bookmarkStart w:id="47" w:name="Tc_vJlW5-PfekCtW2TPL3nlRg_29_2"/>
      <w:bookmarkStart w:id="48" w:name="Tc_ZA23TZ0WLk-IftdXDaprBQ_29_0"/>
      <w:bookmarkStart w:id="49" w:name="Tc_e2EGqB8OdEeW6VZRRkT-ng_28_0"/>
      <w:bookmarkStart w:id="50" w:name="Tc_ebflCS3IWE-WH9hFdywR0A_27_0"/>
      <w:bookmarkStart w:id="51" w:name="Tc_CwKPsaSJW0egEF_jcKsoWQ_26_0"/>
      <w:bookmarkStart w:id="52" w:name="_5b9a787b_961e_45cc_afb8_5ad22876915e_3"/>
      <w:bookmarkStart w:id="53" w:name="_5b9a787b_961e_45cc_afb8_5ad22876915e_2"/>
      <w:bookmarkStart w:id="54" w:name="_5b9a787b_961e_45cc_afb8_5ad22876915e"/>
      <w:bookmarkStart w:id="55" w:name="Tc_RDAITUC_dk-HTUPOAxUEcw_25_0"/>
      <w:bookmarkStart w:id="56" w:name="Tc_VStsKNPqRUaAXTqINtyg2g_24_0"/>
      <w:bookmarkStart w:id="57" w:name="Tc_aPeosOwRv0WR6LmU770Vww_22_0"/>
      <w:bookmarkStart w:id="58" w:name="Tc_d-udwagt302-Z-EZyFsTGw_20_0"/>
      <w:bookmarkStart w:id="59" w:name="Tc_0PiIBNz_U0eREIWA8J2Xbg_18_0"/>
      <w:bookmarkStart w:id="60" w:name="Tc_lFYDMdhum0CtMhDvhUEEkw_17_6"/>
      <w:bookmarkStart w:id="61" w:name="Tc_YIdF88VtfUOFsEKkpSuFqQ_17_0"/>
      <w:bookmarkStart w:id="62" w:name="Tc_s9xQib2HTkuBZ16p4OfMfw_16_0"/>
      <w:bookmarkStart w:id="63" w:name="Tc_lwrKo3Vzw0Ob704EDWzo8Q_15_5"/>
      <w:bookmarkStart w:id="64" w:name="Tc_ztM8UCphJkOHXAbGugSwKA_15_2"/>
      <w:bookmarkStart w:id="65" w:name="Tc_GwapLQWITUeV54vAXQDjMA_15_0"/>
      <w:bookmarkStart w:id="66" w:name="Tc_2HLID_qvJk6iofq6ZkDlcA_14_0"/>
      <w:bookmarkStart w:id="67" w:name="Tc_wnhFctlwY0KtzHbeviwYkg_13_0"/>
      <w:bookmarkStart w:id="68" w:name="Tc_lFsROpOu40uhpv7xWA36JQ_11_5"/>
      <w:bookmarkStart w:id="69" w:name="Tc__ppyQ3qX3UmvRsv7sJ7QQQ_11_2"/>
      <w:bookmarkStart w:id="70" w:name="Tc_IXLpMCc3UUaLNLIUOHGraw_11_0"/>
      <w:bookmarkStart w:id="71" w:name="Tc_deMCWs555UCuF8bOgcQxMQ_10_0"/>
      <w:bookmarkStart w:id="72" w:name="Tc_dNua_TQflUu3D8-2saYhHw_8_0"/>
      <w:bookmarkStart w:id="73" w:name="Tc_M4-rBfPg7kyr1BrlRHRQvg_7_3"/>
      <w:bookmarkStart w:id="74" w:name="Tc_xE4cIch68EiLFOQ6jxhsHg_7_0"/>
      <w:bookmarkStart w:id="75" w:name="Tc_Nh44X9oyu02av37Rp7mxdg_6_0"/>
      <w:bookmarkStart w:id="76" w:name="Tc_e5xuPqg4kkuMPv1fBs_L2w_5_5"/>
      <w:bookmarkStart w:id="77" w:name="Tc_Zg4ZwX8mgUO_d40PrapAgA_5_2"/>
      <w:bookmarkStart w:id="78" w:name="Tc_ZYb1xwISGku7iZjC8D3htQ_5_0"/>
      <w:bookmarkStart w:id="79" w:name="Tc_9x6ySFVEaEimjinMzmx8AA_4_0"/>
      <w:bookmarkStart w:id="80" w:name="Tc_0UBrsmAF50idgK3i-K4a0g_3_2"/>
      <w:bookmarkStart w:id="81" w:name="Tc_VQ-TKmyftU--5sp9MxYhHg_2_5"/>
      <w:bookmarkStart w:id="82" w:name="Tc_InCQEY0uH02P8c-QsB3g1g_2_2"/>
      <w:bookmarkStart w:id="83" w:name="Tc_Ywzuan_OYE6n7Wwf_B3ZfA_1_5"/>
      <w:bookmarkStart w:id="84" w:name="Tc_gxkE_ZHIFkOhS-Af7VvK8w_1_2"/>
      <w:bookmarkStart w:id="85" w:name="_3c68b537_3aa2_4ee9_85d8_a5869547635c"/>
      <w:bookmarkStart w:id="86" w:name="Tc_Z_pyQ5xLRkmsjxAJrhhp4A_29_5"/>
      <w:bookmarkStart w:id="87" w:name="Tc_vJlW5-PfekCtW2TPL3nlRg_29_2"/>
      <w:bookmarkStart w:id="88" w:name="Tc_ZA23TZ0WLk-IftdXDaprBQ_29_0"/>
      <w:bookmarkStart w:id="89" w:name="Tc_e2EGqB8OdEeW6VZRRkT-ng_28_0"/>
      <w:bookmarkStart w:id="90" w:name="Tc_ebflCS3IWE-WH9hFdywR0A_27_0"/>
      <w:bookmarkStart w:id="91" w:name="Tc_CwKPsaSJW0egEF_jcKsoWQ_26_0"/>
      <w:bookmarkStart w:id="92" w:name="_5b9a787b_961e_45cc_afb8_5ad22876915e_3"/>
      <w:bookmarkStart w:id="93" w:name="_5b9a787b_961e_45cc_afb8_5ad22876915e_2"/>
      <w:bookmarkStart w:id="94" w:name="_5b9a787b_961e_45cc_afb8_5ad22876915e"/>
      <w:bookmarkStart w:id="95" w:name="Tc_RDAITUC_dk-HTUPOAxUEcw_25_0"/>
      <w:bookmarkStart w:id="96" w:name="Tc_VStsKNPqRUaAXTqINtyg2g_24_0"/>
      <w:bookmarkStart w:id="97" w:name="Tc_aPeosOwRv0WR6LmU770Vww_22_0"/>
      <w:bookmarkStart w:id="98" w:name="Tc_d-udwagt302-Z-EZyFsTGw_20_0"/>
      <w:bookmarkStart w:id="99" w:name="Tc_0PiIBNz_U0eREIWA8J2Xbg_18_0"/>
      <w:bookmarkStart w:id="100" w:name="Tc_lFYDMdhum0CtMhDvhUEEkw_17_6"/>
      <w:bookmarkStart w:id="101" w:name="Tc_YIdF88VtfUOFsEKkpSuFqQ_17_0"/>
      <w:bookmarkStart w:id="102" w:name="Tc_s9xQib2HTkuBZ16p4OfMfw_16_0"/>
      <w:bookmarkStart w:id="103" w:name="Tc_lwrKo3Vzw0Ob704EDWzo8Q_15_5"/>
      <w:bookmarkStart w:id="104" w:name="Tc_ztM8UCphJkOHXAbGugSwKA_15_2"/>
      <w:bookmarkStart w:id="105" w:name="Tc_GwapLQWITUeV54vAXQDjMA_15_0"/>
      <w:bookmarkStart w:id="106" w:name="Tc_2HLID_qvJk6iofq6ZkDlcA_14_0"/>
      <w:bookmarkStart w:id="107" w:name="Tc_wnhFctlwY0KtzHbeviwYkg_13_0"/>
      <w:bookmarkStart w:id="108" w:name="Tc_lFsROpOu40uhpv7xWA36JQ_11_5"/>
      <w:bookmarkStart w:id="109" w:name="Tc__ppyQ3qX3UmvRsv7sJ7QQQ_11_2"/>
      <w:bookmarkStart w:id="110" w:name="Tc_IXLpMCc3UUaLNLIUOHGraw_11_0"/>
      <w:bookmarkStart w:id="111" w:name="Tc_deMCWs555UCuF8bOgcQxMQ_10_0"/>
      <w:bookmarkStart w:id="112" w:name="Tc_dNua_TQflUu3D8-2saYhHw_8_0"/>
      <w:bookmarkStart w:id="113" w:name="Tc_M4-rBfPg7kyr1BrlRHRQvg_7_3"/>
      <w:bookmarkStart w:id="114" w:name="Tc_xE4cIch68EiLFOQ6jxhsHg_7_0"/>
      <w:bookmarkStart w:id="115" w:name="Tc_Nh44X9oyu02av37Rp7mxdg_6_0"/>
      <w:bookmarkStart w:id="116" w:name="Tc_e5xuPqg4kkuMPv1fBs_L2w_5_5"/>
      <w:bookmarkStart w:id="117" w:name="Tc_Zg4ZwX8mgUO_d40PrapAgA_5_2"/>
      <w:bookmarkStart w:id="118" w:name="Tc_ZYb1xwISGku7iZjC8D3htQ_5_0"/>
      <w:bookmarkStart w:id="119" w:name="Tc_9x6ySFVEaEimjinMzmx8AA_4_0"/>
      <w:bookmarkStart w:id="120" w:name="Tc_0UBrsmAF50idgK3i-K4a0g_3_2"/>
      <w:bookmarkStart w:id="121" w:name="Tc_VQ-TKmyftU--5sp9MxYhHg_2_5"/>
      <w:bookmarkStart w:id="122" w:name="Tc_InCQEY0uH02P8c-QsB3g1g_2_2"/>
      <w:bookmarkStart w:id="123" w:name="Tc_Ywzuan_OYE6n7Wwf_B3ZfA_1_5"/>
      <w:bookmarkStart w:id="124" w:name="Tc_gxkE_ZHIFkOhS-Af7VvK8w_1_2"/>
      <w:bookmarkStart w:id="125" w:name="_3c68b537_3aa2_4ee9_85d8_a5869547635c"/>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tbl>
      <w:tblPr>
        <w:tblW w:w="10205" w:type="dxa"/>
        <w:jc w:val="left"/>
        <w:tblInd w:w="0" w:type="dxa"/>
        <w:tblLayout w:type="fixed"/>
        <w:tblCellMar>
          <w:top w:w="0" w:type="dxa"/>
          <w:left w:w="0" w:type="dxa"/>
          <w:bottom w:w="0" w:type="dxa"/>
          <w:right w:w="0" w:type="dxa"/>
        </w:tblCellMar>
      </w:tblPr>
      <w:tblGrid>
        <w:gridCol w:w="6954"/>
        <w:gridCol w:w="326"/>
        <w:gridCol w:w="211"/>
        <w:gridCol w:w="1036"/>
        <w:gridCol w:w="326"/>
        <w:gridCol w:w="211"/>
        <w:gridCol w:w="1141"/>
      </w:tblGrid>
      <w:tr>
        <w:trPr/>
        <w:tc>
          <w:tcPr>
            <w:tcW w:w="6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415790" cy="175260"/>
                      <wp:effectExtent l="0" t="0" r="0" b="0"/>
                      <wp:wrapNone/>
                      <wp:docPr id="1" name="Frame1"/>
                      <a:graphic xmlns:a="http://schemas.openxmlformats.org/drawingml/2006/main">
                        <a:graphicData uri="http://schemas.microsoft.com/office/word/2010/wordprocessingShape">
                          <wps:wsp>
                            <wps:cNvSpPr txBox="1"/>
                            <wps:spPr>
                              <a:xfrm>
                                <a:off x="0" y="0"/>
                                <a:ext cx="4415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57860" cy="175260"/>
                      <wp:effectExtent l="0" t="0" r="0" b="0"/>
                      <wp:wrapNone/>
                      <wp:docPr id="4" name="Frame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724535" cy="175260"/>
                      <wp:effectExtent l="0" t="0" r="0" b="0"/>
                      <wp:wrapNone/>
                      <wp:docPr id="7" name="Frame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left"/>
              <w:rPr/>
            </w:pPr>
            <w:r>
              <w:rPr/>
              <w:t>​</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9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9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pPr>
            <w:r>
              <w:rPr/>
              <w:t>​</w:t>
            </w:r>
          </w:p>
        </w:tc>
      </w:tr>
      <w:tr>
        <w:trPr/>
        <w:tc>
          <w:tcPr>
            <w:tcW w:w="695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141" w:type="dxa"/>
            <w:tcBorders/>
            <w:shd w:fill="CCEEFF" w:val="clear"/>
            <w:vAlign w:val="center"/>
          </w:tcPr>
          <w:p>
            <w:pPr>
              <w:pStyle w:val="TableContents"/>
              <w:bidi w:val="0"/>
              <w:spacing w:before="0" w:after="1"/>
              <w:ind w:left="0" w:right="0" w:hanging="0"/>
              <w:jc w:val="center"/>
              <w:rPr/>
            </w:pPr>
            <w:r>
              <w:rPr/>
              <w:t>​</w:t>
            </w:r>
          </w:p>
        </w:tc>
      </w:tr>
      <w:tr>
        <w:trPr/>
        <w:tc>
          <w:tcPr>
            <w:tcW w:w="695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123,759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88,107</w:t>
            </w:r>
          </w:p>
        </w:tc>
      </w:tr>
      <w:tr>
        <w:trPr/>
        <w:tc>
          <w:tcPr>
            <w:tcW w:w="695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137,763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150,069</w:t>
            </w:r>
          </w:p>
        </w:tc>
      </w:tr>
      <w:tr>
        <w:trPr/>
        <w:tc>
          <w:tcPr>
            <w:tcW w:w="695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from certain Initial Stockholders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135,440</w:t>
            </w:r>
          </w:p>
        </w:tc>
      </w:tr>
      <w:tr>
        <w:trPr/>
        <w:tc>
          <w:tcPr>
            <w:tcW w:w="695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261,522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373,616</w:t>
            </w:r>
          </w:p>
        </w:tc>
      </w:tr>
      <w:tr>
        <w:trPr/>
        <w:tc>
          <w:tcPr>
            <w:tcW w:w="69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r>
      <w:tr>
        <w:trPr/>
        <w:tc>
          <w:tcPr>
            <w:tcW w:w="695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marketable securities held in Trust Account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24,601,832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24,678,170</w:t>
            </w:r>
          </w:p>
        </w:tc>
      </w:tr>
      <w:tr>
        <w:trPr/>
        <w:tc>
          <w:tcPr>
            <w:tcW w:w="6954"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24,863,354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25,051,786</w:t>
            </w:r>
          </w:p>
        </w:tc>
      </w:tr>
      <w:tr>
        <w:trPr/>
        <w:tc>
          <w:tcPr>
            <w:tcW w:w="695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r>
      <w:tr>
        <w:trPr/>
        <w:tc>
          <w:tcPr>
            <w:tcW w:w="6954"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COMMON STOCK SUBJECT TO POSSIBLE REDEMPTION, AND STOCKHOLDERS’ DEFICIT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r>
      <w:tr>
        <w:trPr/>
        <w:tc>
          <w:tcPr>
            <w:tcW w:w="695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left"/>
              <w:rPr/>
            </w:pPr>
            <w:r>
              <w:rPr/>
              <w:t>​</w:t>
            </w:r>
          </w:p>
        </w:tc>
      </w:tr>
      <w:tr>
        <w:trPr/>
        <w:tc>
          <w:tcPr>
            <w:tcW w:w="695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948,514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666,832</w:t>
            </w:r>
          </w:p>
        </w:tc>
      </w:tr>
      <w:tr>
        <w:trPr/>
        <w:tc>
          <w:tcPr>
            <w:tcW w:w="695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135,987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395,019</w:t>
            </w:r>
          </w:p>
        </w:tc>
      </w:tr>
      <w:tr>
        <w:trPr/>
        <w:tc>
          <w:tcPr>
            <w:tcW w:w="695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Promissory note - related party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95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1,284,501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1,061,851</w:t>
            </w:r>
          </w:p>
        </w:tc>
      </w:tr>
      <w:tr>
        <w:trPr/>
        <w:tc>
          <w:tcPr>
            <w:tcW w:w="69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r>
      <w:tr>
        <w:trPr/>
        <w:tc>
          <w:tcPr>
            <w:tcW w:w="695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Commitments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r>
      <w:tr>
        <w:trPr/>
        <w:tc>
          <w:tcPr>
            <w:tcW w:w="69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r>
      <w:tr>
        <w:trPr/>
        <w:tc>
          <w:tcPr>
            <w:tcW w:w="695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subject to possible redemption; $0.0001 par value; 2,378,249 shares at $10.30 and $10.23 redemption value at March 31, 2023 and December 31, 2022,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24,485,433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24,322,162</w:t>
            </w:r>
          </w:p>
        </w:tc>
      </w:tr>
      <w:tr>
        <w:trPr/>
        <w:tc>
          <w:tcPr>
            <w:tcW w:w="69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r>
      <w:tr>
        <w:trPr/>
        <w:tc>
          <w:tcPr>
            <w:tcW w:w="695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Stockholders’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r>
      <w:tr>
        <w:trPr/>
        <w:tc>
          <w:tcPr>
            <w:tcW w:w="695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$0.0001 par value; 50,000,000 shares authorized; 3,336,500 shares issued and outstanding as of March 31, 2023 and December 31, 2022, respectively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w:t>
            </w:r>
          </w:p>
        </w:tc>
      </w:tr>
      <w:tr>
        <w:trPr/>
        <w:tc>
          <w:tcPr>
            <w:tcW w:w="695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251,389</w:t>
            </w:r>
          </w:p>
        </w:tc>
      </w:tr>
      <w:tr>
        <w:trPr/>
        <w:tc>
          <w:tcPr>
            <w:tcW w:w="695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(995,032)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(583,950)</w:t>
            </w:r>
          </w:p>
        </w:tc>
      </w:tr>
      <w:tr>
        <w:trPr/>
        <w:tc>
          <w:tcPr>
            <w:tcW w:w="695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Stockholders’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(906,580)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(332,227)</w:t>
            </w:r>
          </w:p>
        </w:tc>
      </w:tr>
      <w:tr>
        <w:trPr/>
        <w:tc>
          <w:tcPr>
            <w:tcW w:w="6954"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COMMON STOCK SUBJECT TO POSSIBLE REDEMPTION, AND STOCKHOLDERS’ DEFICIT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24,863,354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25,051,786</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6" w:name="_1a01072f_14cb_45f7_9498_a321190cf6ca"/>
      <w:bookmarkEnd w:id="126"/>
      <w:r>
        <w:rPr>
          <w:rFonts w:ascii="Times New Roman;Times;serif" w:hAnsi="Times New Roman;Times;serif"/>
          <w:b/>
          <w:sz w:val="20"/>
        </w:rPr>
        <w:t>ROTH CH ACQUISITION IV CO.</w:t>
      </w:r>
    </w:p>
    <w:p>
      <w:pPr>
        <w:pStyle w:val="TextBody"/>
        <w:bidi w:val="0"/>
        <w:spacing w:before="0" w:after="0"/>
        <w:ind w:left="0" w:right="0" w:hanging="0"/>
        <w:jc w:val="center"/>
        <w:rPr>
          <w:rFonts w:ascii="Times New Roman;Times;serif" w:hAnsi="Times New Roman;Times;serif"/>
          <w:b/>
          <w:sz w:val="20"/>
        </w:rPr>
      </w:pPr>
      <w:bookmarkStart w:id="127" w:name="CONDENSEDSTATEMENTOFOPERATIONS_333302"/>
      <w:bookmarkStart w:id="128" w:name="_862950"/>
      <w:bookmarkEnd w:id="127"/>
      <w:bookmarkEnd w:id="128"/>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29" w:name="Tc_quhzhMV8fUeo2SSABsoCug_22_5"/>
      <w:bookmarkStart w:id="130" w:name="Tc_gxImrkVVy0-6oAL1TfaEpw_22_2"/>
      <w:bookmarkStart w:id="131" w:name="Tc_oBFJ1RxEhEe_wuwlg3e9kQ_22_0"/>
      <w:bookmarkStart w:id="132" w:name="Tc_WGKxFSRsdEWhJIHvXQ1-TQ_20_0"/>
      <w:bookmarkStart w:id="133" w:name="Tc_xwInzqyAe02u_IEDd3A-Ag_18_5"/>
      <w:bookmarkStart w:id="134" w:name="Tc_inEA-jfu-U2HVxjyW7edlQ_18_2"/>
      <w:bookmarkStart w:id="135" w:name="Tc_qzjsWLLpz0y8Dcyzf6qq2g_18_0"/>
      <w:bookmarkStart w:id="136" w:name="Tc_m8HCaE1RCEi47KEXno3YHg_16_0"/>
      <w:bookmarkStart w:id="137" w:name="Tc_PWplrXkFp0yJRpvSuJh6nQ_14_5"/>
      <w:bookmarkStart w:id="138" w:name="Tc_PrPx1e6h6kukG41AF7PRYw_14_2"/>
      <w:bookmarkStart w:id="139" w:name="Tc_0ySP7CFqe0KLi5CfSqKAWA_14_0"/>
      <w:bookmarkStart w:id="140" w:name="Tc_QE0GmlB5MkikWgquIbebbg_13_6"/>
      <w:bookmarkStart w:id="141" w:name="Tc_LFE5i7SZ8EmnpcPt4iFVQg_13_0"/>
      <w:bookmarkStart w:id="142" w:name="Tc_pNB2BbbFIkqpzr9MEvI_BA_12_0"/>
      <w:bookmarkStart w:id="143" w:name="Tc_3MIZAJ3AZU6c7QDmHCfezw_10_0"/>
      <w:bookmarkStart w:id="144" w:name="Tc_vNTE5THMSkq9O86d9LJrGA_9_3"/>
      <w:bookmarkStart w:id="145" w:name="Tc_9L1Gqw9Cs0S6MjrzImCy5Q_9_0"/>
      <w:bookmarkStart w:id="146" w:name="Tc_FMkNKkUtjU2XCx3EgrWmew_8_0"/>
      <w:bookmarkStart w:id="147" w:name="Tc_o0RSep3zckq7kf5mUgTJqQ_7_0"/>
      <w:bookmarkStart w:id="148" w:name="Tc_3txBMQ2rV0qreFZ58wKJNg_5_0"/>
      <w:bookmarkStart w:id="149" w:name="Tc_cXyaOwRth0KhTNxrgxuA9Q_4_5"/>
      <w:bookmarkStart w:id="150" w:name="Tc_lCK9wHA3J06a6aGnCJmfdA_4_2"/>
      <w:bookmarkStart w:id="151" w:name="Tc_POIWRHXJdECt-N9TCcL6zQ_4_0"/>
      <w:bookmarkStart w:id="152" w:name="Tc_BXRXJp7RHUaN_eDEiUrVjQ_3_5"/>
      <w:bookmarkStart w:id="153" w:name="Tc_yzFF8Bl9cEya3ZPkcO0U1Q_3_2"/>
      <w:bookmarkStart w:id="154" w:name="Tc_rs3z2fVu3U2mSLvtzjy0pw_2_2"/>
      <w:bookmarkStart w:id="155" w:name="Tc_7f_PNWL7AE-xb4T2VwKsJw_1_2"/>
      <w:bookmarkStart w:id="156" w:name="_67b8a6da_1fea_48e6_9f59_6e4ff13d6ba0"/>
      <w:bookmarkStart w:id="157" w:name="_dece877f_aee1_414e_bc80_cd6d63181809"/>
      <w:bookmarkStart w:id="158" w:name="Tc_quhzhMV8fUeo2SSABsoCug_22_5"/>
      <w:bookmarkStart w:id="159" w:name="Tc_gxImrkVVy0-6oAL1TfaEpw_22_2"/>
      <w:bookmarkStart w:id="160" w:name="Tc_oBFJ1RxEhEe_wuwlg3e9kQ_22_0"/>
      <w:bookmarkStart w:id="161" w:name="Tc_WGKxFSRsdEWhJIHvXQ1-TQ_20_0"/>
      <w:bookmarkStart w:id="162" w:name="Tc_xwInzqyAe02u_IEDd3A-Ag_18_5"/>
      <w:bookmarkStart w:id="163" w:name="Tc_inEA-jfu-U2HVxjyW7edlQ_18_2"/>
      <w:bookmarkStart w:id="164" w:name="Tc_qzjsWLLpz0y8Dcyzf6qq2g_18_0"/>
      <w:bookmarkStart w:id="165" w:name="Tc_m8HCaE1RCEi47KEXno3YHg_16_0"/>
      <w:bookmarkStart w:id="166" w:name="Tc_PWplrXkFp0yJRpvSuJh6nQ_14_5"/>
      <w:bookmarkStart w:id="167" w:name="Tc_PrPx1e6h6kukG41AF7PRYw_14_2"/>
      <w:bookmarkStart w:id="168" w:name="Tc_0ySP7CFqe0KLi5CfSqKAWA_14_0"/>
      <w:bookmarkStart w:id="169" w:name="Tc_QE0GmlB5MkikWgquIbebbg_13_6"/>
      <w:bookmarkStart w:id="170" w:name="Tc_LFE5i7SZ8EmnpcPt4iFVQg_13_0"/>
      <w:bookmarkStart w:id="171" w:name="Tc_pNB2BbbFIkqpzr9MEvI_BA_12_0"/>
      <w:bookmarkStart w:id="172" w:name="Tc_3MIZAJ3AZU6c7QDmHCfezw_10_0"/>
      <w:bookmarkStart w:id="173" w:name="Tc_vNTE5THMSkq9O86d9LJrGA_9_3"/>
      <w:bookmarkStart w:id="174" w:name="Tc_9L1Gqw9Cs0S6MjrzImCy5Q_9_0"/>
      <w:bookmarkStart w:id="175" w:name="Tc_FMkNKkUtjU2XCx3EgrWmew_8_0"/>
      <w:bookmarkStart w:id="176" w:name="Tc_o0RSep3zckq7kf5mUgTJqQ_7_0"/>
      <w:bookmarkStart w:id="177" w:name="Tc_3txBMQ2rV0qreFZ58wKJNg_5_0"/>
      <w:bookmarkStart w:id="178" w:name="Tc_cXyaOwRth0KhTNxrgxuA9Q_4_5"/>
      <w:bookmarkStart w:id="179" w:name="Tc_lCK9wHA3J06a6aGnCJmfdA_4_2"/>
      <w:bookmarkStart w:id="180" w:name="Tc_POIWRHXJdECt-N9TCcL6zQ_4_0"/>
      <w:bookmarkStart w:id="181" w:name="Tc_BXRXJp7RHUaN_eDEiUrVjQ_3_5"/>
      <w:bookmarkStart w:id="182" w:name="Tc_yzFF8Bl9cEya3ZPkcO0U1Q_3_2"/>
      <w:bookmarkStart w:id="183" w:name="Tc_rs3z2fVu3U2mSLvtzjy0pw_2_2"/>
      <w:bookmarkStart w:id="184" w:name="Tc_7f_PNWL7AE-xb4T2VwKsJw_1_2"/>
      <w:bookmarkStart w:id="185" w:name="_67b8a6da_1fea_48e6_9f59_6e4ff13d6ba0"/>
      <w:bookmarkStart w:id="186" w:name="_dece877f_aee1_414e_bc80_cd6d63181809"/>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tbl>
      <w:tblPr>
        <w:tblW w:w="10205" w:type="dxa"/>
        <w:jc w:val="left"/>
        <w:tblInd w:w="0" w:type="dxa"/>
        <w:tblLayout w:type="fixed"/>
        <w:tblCellMar>
          <w:top w:w="0" w:type="dxa"/>
          <w:left w:w="0" w:type="dxa"/>
          <w:bottom w:w="0" w:type="dxa"/>
          <w:right w:w="0" w:type="dxa"/>
        </w:tblCellMar>
      </w:tblPr>
      <w:tblGrid>
        <w:gridCol w:w="7119"/>
        <w:gridCol w:w="326"/>
        <w:gridCol w:w="211"/>
        <w:gridCol w:w="931"/>
        <w:gridCol w:w="326"/>
        <w:gridCol w:w="211"/>
        <w:gridCol w:w="1081"/>
      </w:tblGrid>
      <w:tr>
        <w:trPr/>
        <w:tc>
          <w:tcPr>
            <w:tcW w:w="7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520565" cy="175260"/>
                      <wp:effectExtent l="0" t="0" r="0" b="0"/>
                      <wp:wrapNone/>
                      <wp:docPr id="8" name="Frame8"/>
                      <a:graphic xmlns:a="http://schemas.openxmlformats.org/drawingml/2006/main">
                        <a:graphicData uri="http://schemas.microsoft.com/office/word/2010/wordprocessingShape">
                          <wps:wsp>
                            <wps:cNvSpPr txBox="1"/>
                            <wps:spPr>
                              <a:xfrm>
                                <a:off x="0" y="0"/>
                                <a:ext cx="4520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91185" cy="175260"/>
                      <wp:effectExtent l="0" t="0" r="0" b="0"/>
                      <wp:wrapNone/>
                      <wp:docPr id="11" name="Frame1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86435" cy="175260"/>
                      <wp:effectExtent l="0" t="0" r="0" b="0"/>
                      <wp:wrapNone/>
                      <wp:docPr id="14" name="Frame1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6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71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1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11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Formation and operating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593,776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155,407</w:t>
            </w:r>
          </w:p>
        </w:tc>
      </w:tr>
      <w:tr>
        <w:trPr/>
        <w:tc>
          <w:tcPr>
            <w:tcW w:w="7119"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(593,776)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(155,407)</w:t>
            </w:r>
          </w:p>
        </w:tc>
      </w:tr>
      <w:tr>
        <w:trPr/>
        <w:tc>
          <w:tcPr>
            <w:tcW w:w="711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r>
      <w:tr>
        <w:trPr/>
        <w:tc>
          <w:tcPr>
            <w:tcW w:w="711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711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earned on marketable securities held in Trust Account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245,201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29,503</w:t>
            </w:r>
          </w:p>
        </w:tc>
      </w:tr>
      <w:tr>
        <w:trPr/>
        <w:tc>
          <w:tcPr>
            <w:tcW w:w="711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 on marketable securities held in Trust Account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4,277</w:t>
            </w:r>
          </w:p>
        </w:tc>
      </w:tr>
      <w:tr>
        <w:trPr/>
        <w:tc>
          <w:tcPr>
            <w:tcW w:w="711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245,201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33,780</w:t>
            </w:r>
          </w:p>
        </w:tc>
      </w:tr>
      <w:tr>
        <w:trPr/>
        <w:tc>
          <w:tcPr>
            <w:tcW w:w="71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711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(348,575)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(121,627)</w:t>
            </w:r>
          </w:p>
        </w:tc>
      </w:tr>
      <w:tr>
        <w:trPr/>
        <w:tc>
          <w:tcPr>
            <w:tcW w:w="711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(62,507)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711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(411,082)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(121,627)</w:t>
            </w:r>
          </w:p>
        </w:tc>
      </w:tr>
      <w:tr>
        <w:trPr/>
        <w:tc>
          <w:tcPr>
            <w:tcW w:w="71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left"/>
              <w:rPr/>
            </w:pPr>
            <w:r>
              <w:rPr/>
              <w:t>​</w:t>
            </w:r>
          </w:p>
        </w:tc>
      </w:tr>
      <w:tr>
        <w:trPr/>
        <w:tc>
          <w:tcPr>
            <w:tcW w:w="711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 redeemable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2,378,249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11,500,000</w:t>
            </w:r>
          </w:p>
        </w:tc>
      </w:tr>
      <w:tr>
        <w:trPr/>
        <w:tc>
          <w:tcPr>
            <w:tcW w:w="71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711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and diluted net loss per share, redeemable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(0.01)</w:t>
            </w:r>
          </w:p>
        </w:tc>
      </w:tr>
      <w:tr>
        <w:trPr/>
        <w:tc>
          <w:tcPr>
            <w:tcW w:w="71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711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 non-redeemable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3,336,500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3,336,500</w:t>
            </w:r>
          </w:p>
        </w:tc>
      </w:tr>
      <w:tr>
        <w:trPr/>
        <w:tc>
          <w:tcPr>
            <w:tcW w:w="71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711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and diluted net loss per share, non-redeemable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(0.01)</w:t>
            </w:r>
          </w:p>
        </w:tc>
      </w:tr>
    </w:tbl>
    <w:p>
      <w:pPr>
        <w:pStyle w:val="TextBody"/>
        <w:pBdr/>
        <w:bidi w:val="0"/>
        <w:spacing w:before="0" w:after="240"/>
        <w:ind w:left="0" w:right="0" w:hanging="36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87" w:name="_bc33af91_db51_4798_8583_781de987dcc0"/>
      <w:bookmarkEnd w:id="187"/>
      <w:r>
        <w:rPr>
          <w:rFonts w:ascii="Times New Roman;Times;serif" w:hAnsi="Times New Roman;Times;serif"/>
          <w:b/>
          <w:sz w:val="20"/>
        </w:rPr>
        <w:t>ROTH CH ACQUISITION IV CO.</w:t>
      </w:r>
    </w:p>
    <w:p>
      <w:pPr>
        <w:pStyle w:val="TextBody"/>
        <w:bidi w:val="0"/>
        <w:spacing w:before="0" w:after="0"/>
        <w:ind w:left="0" w:right="0" w:hanging="0"/>
        <w:jc w:val="center"/>
        <w:rPr>
          <w:rFonts w:ascii="Times New Roman;Times;serif" w:hAnsi="Times New Roman;Times;serif"/>
          <w:b/>
          <w:sz w:val="20"/>
        </w:rPr>
      </w:pPr>
      <w:bookmarkStart w:id="188" w:name="CONDENSEDSTATEMENTOFCHANGESINSTOCKHOLDER"/>
      <w:bookmarkStart w:id="189" w:name="_803524"/>
      <w:bookmarkEnd w:id="188"/>
      <w:bookmarkEnd w:id="189"/>
      <w:r>
        <w:rPr>
          <w:rFonts w:ascii="Times New Roman;Times;serif" w:hAnsi="Times New Roman;Times;serif"/>
          <w:b/>
          <w:sz w:val="20"/>
        </w:rPr>
        <w:t>CONDENSED CONSOLIDATED STATEMENTS OF CHANGES IN STOCKHOLDERS’ (DEFICIT) EQUITY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2023</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0" w:name="Tc_fohULDCLdkOPe8irPHiTLQ_12_7"/>
      <w:bookmarkStart w:id="191" w:name="Tc_j7r08mBWc0eXZnzWM44sOQ_12_4"/>
      <w:bookmarkStart w:id="192" w:name="Tc_TjTkfq06AEmZZaFZUZCBww_12_0"/>
      <w:bookmarkStart w:id="193" w:name="Tc_BdlVapkTA0uiaAiykCyZHw_10_8"/>
      <w:bookmarkStart w:id="194" w:name="Tc_FObjo2Iw3k6WwDQsOTModw_10_5"/>
      <w:bookmarkStart w:id="195" w:name="Tc_ooPDqHGZVkO5QJCRFG7ZUA_10_2"/>
      <w:bookmarkStart w:id="196" w:name="Tc_Q-MqXzIceE-r9urrwI_rIQ_10_0"/>
      <w:bookmarkStart w:id="197" w:name="Tc_a32NHY3kN0edVsz67E0bFg_8_11"/>
      <w:bookmarkStart w:id="198" w:name="Tc_0wXgzZ3kRUCxaQYJlV52jg_8_5"/>
      <w:bookmarkStart w:id="199" w:name="Tc_UOya4LYe10Sd5i2uxWl49w_8_2"/>
      <w:bookmarkStart w:id="200" w:name="Tc_2rkXMCPajkyNxXVugQGm6Q_8_0"/>
      <w:bookmarkStart w:id="201" w:name="Tc_tRQwcRlK40y54aHUDuFiMQ_6_11"/>
      <w:bookmarkStart w:id="202" w:name="Tc_5fTkcoF6T0OVyOcMr-SsAQ_6_5"/>
      <w:bookmarkStart w:id="203" w:name="Tc_DZ4-irfKq0-Z8kWxCB7XnQ_6_2"/>
      <w:bookmarkStart w:id="204" w:name="Tc_PQ7NXm8as0-EQp5jEZ2HKQ_6_0"/>
      <w:bookmarkStart w:id="205" w:name="Tc_qpfkT5ea9ESF7GvIvHeQ2w_4_13"/>
      <w:bookmarkStart w:id="206" w:name="Tc_kYVxpsu0_UilW5BJf-BPvg_4_10"/>
      <w:bookmarkStart w:id="207" w:name="Tc_LDUv5Enj_0ur2l274H9VBQ_4_7"/>
      <w:bookmarkStart w:id="208" w:name="Tc_smTm2r_g2EWexZoeNh8SJQ_4_4"/>
      <w:bookmarkStart w:id="209" w:name="Tc_t-Rez-4YjkCfp3wGXTxpvQ_4_0"/>
      <w:bookmarkStart w:id="210" w:name="Tc_MiVBJ-PYWkCKjW0IFObYnw_3_13"/>
      <w:bookmarkStart w:id="211" w:name="Tc_KhWtuL2oNk2YoNyqaRQ7zw_3_10"/>
      <w:bookmarkStart w:id="212" w:name="Tc_Mwqc5WiYOUefZJFz8ZXWgA_3_7"/>
      <w:bookmarkStart w:id="213" w:name="Tc_mBjqYJ3ntES6uGB9t9pCdg_3_4"/>
      <w:bookmarkStart w:id="214" w:name="Tc_8xawSx6MHkGBBqatVnzNVw_3_2"/>
      <w:bookmarkStart w:id="215" w:name="Tc_wKumAbvVjEqmYmg8Ty6eSA_2_13"/>
      <w:bookmarkStart w:id="216" w:name="Tc_lFs-1bwpu0O0pxbUep8VQw_2_10"/>
      <w:bookmarkStart w:id="217" w:name="Tc_J-8GYiW-x0aB5SdAxaw6QA_2_7"/>
      <w:bookmarkStart w:id="218" w:name="Tc_p_4jrbXBWEebXiHaJsqw7Q_2_2"/>
      <w:bookmarkStart w:id="219" w:name="Tc_RfiaaHUyek6x19hQaljivA_1_13"/>
      <w:bookmarkStart w:id="220" w:name="Tc_T9PWsopGE0WY3vm_cXP1pw_1_7"/>
      <w:bookmarkStart w:id="221" w:name="_e4064baf_a3bf_4e88_861a_a1f12310d7b0"/>
      <w:bookmarkStart w:id="222" w:name="Tc_fohULDCLdkOPe8irPHiTLQ_12_7"/>
      <w:bookmarkStart w:id="223" w:name="Tc_j7r08mBWc0eXZnzWM44sOQ_12_4"/>
      <w:bookmarkStart w:id="224" w:name="Tc_TjTkfq06AEmZZaFZUZCBww_12_0"/>
      <w:bookmarkStart w:id="225" w:name="Tc_BdlVapkTA0uiaAiykCyZHw_10_8"/>
      <w:bookmarkStart w:id="226" w:name="Tc_FObjo2Iw3k6WwDQsOTModw_10_5"/>
      <w:bookmarkStart w:id="227" w:name="Tc_ooPDqHGZVkO5QJCRFG7ZUA_10_2"/>
      <w:bookmarkStart w:id="228" w:name="Tc_Q-MqXzIceE-r9urrwI_rIQ_10_0"/>
      <w:bookmarkStart w:id="229" w:name="Tc_a32NHY3kN0edVsz67E0bFg_8_11"/>
      <w:bookmarkStart w:id="230" w:name="Tc_0wXgzZ3kRUCxaQYJlV52jg_8_5"/>
      <w:bookmarkStart w:id="231" w:name="Tc_UOya4LYe10Sd5i2uxWl49w_8_2"/>
      <w:bookmarkStart w:id="232" w:name="Tc_2rkXMCPajkyNxXVugQGm6Q_8_0"/>
      <w:bookmarkStart w:id="233" w:name="Tc_tRQwcRlK40y54aHUDuFiMQ_6_11"/>
      <w:bookmarkStart w:id="234" w:name="Tc_5fTkcoF6T0OVyOcMr-SsAQ_6_5"/>
      <w:bookmarkStart w:id="235" w:name="Tc_DZ4-irfKq0-Z8kWxCB7XnQ_6_2"/>
      <w:bookmarkStart w:id="236" w:name="Tc_PQ7NXm8as0-EQp5jEZ2HKQ_6_0"/>
      <w:bookmarkStart w:id="237" w:name="Tc_qpfkT5ea9ESF7GvIvHeQ2w_4_13"/>
      <w:bookmarkStart w:id="238" w:name="Tc_kYVxpsu0_UilW5BJf-BPvg_4_10"/>
      <w:bookmarkStart w:id="239" w:name="Tc_LDUv5Enj_0ur2l274H9VBQ_4_7"/>
      <w:bookmarkStart w:id="240" w:name="Tc_smTm2r_g2EWexZoeNh8SJQ_4_4"/>
      <w:bookmarkStart w:id="241" w:name="Tc_t-Rez-4YjkCfp3wGXTxpvQ_4_0"/>
      <w:bookmarkStart w:id="242" w:name="Tc_MiVBJ-PYWkCKjW0IFObYnw_3_13"/>
      <w:bookmarkStart w:id="243" w:name="Tc_KhWtuL2oNk2YoNyqaRQ7zw_3_10"/>
      <w:bookmarkStart w:id="244" w:name="Tc_Mwqc5WiYOUefZJFz8ZXWgA_3_7"/>
      <w:bookmarkStart w:id="245" w:name="Tc_mBjqYJ3ntES6uGB9t9pCdg_3_4"/>
      <w:bookmarkStart w:id="246" w:name="Tc_8xawSx6MHkGBBqatVnzNVw_3_2"/>
      <w:bookmarkStart w:id="247" w:name="Tc_wKumAbvVjEqmYmg8Ty6eSA_2_13"/>
      <w:bookmarkStart w:id="248" w:name="Tc_lFs-1bwpu0O0pxbUep8VQw_2_10"/>
      <w:bookmarkStart w:id="249" w:name="Tc_J-8GYiW-x0aB5SdAxaw6QA_2_7"/>
      <w:bookmarkStart w:id="250" w:name="Tc_p_4jrbXBWEebXiHaJsqw7Q_2_2"/>
      <w:bookmarkStart w:id="251" w:name="Tc_RfiaaHUyek6x19hQaljivA_1_13"/>
      <w:bookmarkStart w:id="252" w:name="Tc_T9PWsopGE0WY3vm_cXP1pw_1_7"/>
      <w:bookmarkStart w:id="253" w:name="_e4064baf_a3bf_4e88_861a_a1f12310d7b0"/>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tbl>
      <w:tblPr>
        <w:tblW w:w="10205" w:type="dxa"/>
        <w:jc w:val="left"/>
        <w:tblInd w:w="0" w:type="dxa"/>
        <w:tblLayout w:type="fixed"/>
        <w:tblCellMar>
          <w:top w:w="0" w:type="dxa"/>
          <w:left w:w="0" w:type="dxa"/>
          <w:bottom w:w="0" w:type="dxa"/>
          <w:right w:w="0" w:type="dxa"/>
        </w:tblCellMar>
      </w:tblPr>
      <w:tblGrid>
        <w:gridCol w:w="3871"/>
        <w:gridCol w:w="326"/>
        <w:gridCol w:w="826"/>
        <w:gridCol w:w="326"/>
        <w:gridCol w:w="236"/>
        <w:gridCol w:w="455"/>
        <w:gridCol w:w="326"/>
        <w:gridCol w:w="196"/>
        <w:gridCol w:w="805"/>
        <w:gridCol w:w="326"/>
        <w:gridCol w:w="217"/>
        <w:gridCol w:w="834"/>
        <w:gridCol w:w="326"/>
        <w:gridCol w:w="222"/>
        <w:gridCol w:w="913"/>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458085" cy="175260"/>
                      <wp:effectExtent l="0" t="0" r="0" b="0"/>
                      <wp:wrapNone/>
                      <wp:docPr id="15" name="Frame15"/>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24510" cy="175260"/>
                      <wp:effectExtent l="0" t="0" r="0" b="0"/>
                      <wp:wrapNone/>
                      <wp:docPr id="17" name="Frame1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49860" cy="175260"/>
                      <wp:effectExtent l="0" t="0" r="0" b="0"/>
                      <wp:wrapNone/>
                      <wp:docPr id="19" name="Frame19"/>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88925" cy="175260"/>
                      <wp:effectExtent l="0" t="0" r="0" b="0"/>
                      <wp:wrapNone/>
                      <wp:docPr id="20" name="Frame20"/>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24460" cy="175260"/>
                      <wp:effectExtent l="0" t="0" r="0" b="0"/>
                      <wp:wrapNone/>
                      <wp:docPr id="22" name="Frame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11175" cy="175260"/>
                      <wp:effectExtent l="0" t="0" r="0" b="0"/>
                      <wp:wrapNone/>
                      <wp:docPr id="23" name="Frame23"/>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7795" cy="175260"/>
                      <wp:effectExtent l="0" t="0" r="0" b="0"/>
                      <wp:wrapNone/>
                      <wp:docPr id="25" name="Frame25"/>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29590" cy="175260"/>
                      <wp:effectExtent l="0" t="0" r="0" b="0"/>
                      <wp:wrapNone/>
                      <wp:docPr id="26" name="Frame26"/>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40970" cy="175260"/>
                      <wp:effectExtent l="0" t="0" r="0" b="0"/>
                      <wp:wrapNone/>
                      <wp:docPr id="28" name="Frame28"/>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79755" cy="175260"/>
                      <wp:effectExtent l="0" t="0" r="0" b="0"/>
                      <wp:wrapNone/>
                      <wp:docPr id="29" name="Frame29"/>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43" w:type="dxa"/>
            <w:gridSpan w:val="4"/>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4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center"/>
              <w:rPr/>
            </w:pPr>
            <w:r>
              <w:rPr/>
              <w:t>​</w:t>
            </w:r>
          </w:p>
        </w:tc>
        <w:tc>
          <w:tcPr>
            <w:tcW w:w="10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1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 January 1, 2023</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3,336,500</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334</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251,389</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(583,950)</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(332,227)</w:t>
            </w:r>
          </w:p>
        </w:tc>
      </w:tr>
      <w:tr>
        <w:trPr/>
        <w:tc>
          <w:tcPr>
            <w:tcW w:w="3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Remeasurement of common stock to redemption amount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4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(326,452)</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(326,452)</w:t>
            </w:r>
          </w:p>
        </w:tc>
      </w:tr>
      <w:tr>
        <w:trPr/>
        <w:tc>
          <w:tcPr>
            <w:tcW w:w="3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Contribution from Sponsor</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4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163,181</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163,181</w:t>
            </w:r>
          </w:p>
        </w:tc>
      </w:tr>
      <w:tr>
        <w:trPr/>
        <w:tc>
          <w:tcPr>
            <w:tcW w:w="3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4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(411,082)</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(411,082)</w:t>
            </w:r>
          </w:p>
        </w:tc>
      </w:tr>
      <w:tr>
        <w:trPr/>
        <w:tc>
          <w:tcPr>
            <w:tcW w:w="3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 March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3,336,500</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4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334</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88,118</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(995,032)</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(906,580)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2022</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4" w:name="Tc_l1U97BvnckqI3pX5PmxvNQ_8_13"/>
      <w:bookmarkStart w:id="255" w:name="Tc_-P5WvForFEW2S3Mwt1IG4Q_8_10"/>
      <w:bookmarkStart w:id="256" w:name="Tc_LPbPtuSWCEuk-e1-t-OYrw_8_7"/>
      <w:bookmarkStart w:id="257" w:name="Tc_5Atx3Ah_3UWBGfYx26unaw_8_4"/>
      <w:bookmarkStart w:id="258" w:name="Tc_hU1tXCnZZE-7wKzHfcFMWA_8_0"/>
      <w:bookmarkStart w:id="259" w:name="Tc_gs2qCXBWKk6fsENmV5ZU1A_6_8"/>
      <w:bookmarkStart w:id="260" w:name="Tc_3wL8mMCIFk-d5hqUmqHt9w_6_5"/>
      <w:bookmarkStart w:id="261" w:name="Tc_MfekU67Ntkyc9IqtAG3fNg_6_2"/>
      <w:bookmarkStart w:id="262" w:name="Tc_cSbcVJ2GAEydQZlOROnkqw_6_0"/>
      <w:bookmarkStart w:id="263" w:name="Tc_5HIrZmpMLkqxVu1aXsB5Hw_4_13"/>
      <w:bookmarkStart w:id="264" w:name="Tc_twE-3_6q70Cw3wqPp4Iq4Q_4_10"/>
      <w:bookmarkStart w:id="265" w:name="Tc_qW9BMgErkku73cDgzRyr6Q_4_7"/>
      <w:bookmarkStart w:id="266" w:name="Tc_ur4qidgj9UCmefVEYhaJ2g_4_4"/>
      <w:bookmarkStart w:id="267" w:name="Tc_98NCBijrhEmDgfjdrhGCkQ_4_0"/>
      <w:bookmarkStart w:id="268" w:name="Tc_8-5nhgaS6UmivOodiOkmEQ_3_13"/>
      <w:bookmarkStart w:id="269" w:name="Tc__NhqXO7lGEaMsK5iphFpyA_3_10"/>
      <w:bookmarkStart w:id="270" w:name="Tc_pjz3OKhG7kGNaDqTDuLuZQ_3_7"/>
      <w:bookmarkStart w:id="271" w:name="Tc_8oJ6aBfezUCM6hqwvu3DHg_3_4"/>
      <w:bookmarkStart w:id="272" w:name="Tc_n7PHRaGTO0eY4p4mEfrq0g_3_2"/>
      <w:bookmarkStart w:id="273" w:name="Tc_JO-_U3DRM0y2fYyecagWWg_2_13"/>
      <w:bookmarkStart w:id="274" w:name="Tc_9ela8lu0_k68hGc4G-zcxA_2_10"/>
      <w:bookmarkStart w:id="275" w:name="Tc_p3x8_AVRlUqENY81CqlxWQ_2_7"/>
      <w:bookmarkStart w:id="276" w:name="Tc_lwSgMmp2hkS5qFeLkvSanw_2_2"/>
      <w:bookmarkStart w:id="277" w:name="Tc_Ba0E-RuAIUKwVNr-thmreA_1_13"/>
      <w:bookmarkStart w:id="278" w:name="Tc_HJKGnLWMykit4VUFwwSVVA_1_7"/>
      <w:bookmarkStart w:id="279" w:name="_8a49166c_8d21_4757_a95b_7501d61ad02d"/>
      <w:bookmarkStart w:id="280" w:name="Tc_l1U97BvnckqI3pX5PmxvNQ_8_13"/>
      <w:bookmarkStart w:id="281" w:name="Tc_-P5WvForFEW2S3Mwt1IG4Q_8_10"/>
      <w:bookmarkStart w:id="282" w:name="Tc_LPbPtuSWCEuk-e1-t-OYrw_8_7"/>
      <w:bookmarkStart w:id="283" w:name="Tc_5Atx3Ah_3UWBGfYx26unaw_8_4"/>
      <w:bookmarkStart w:id="284" w:name="Tc_hU1tXCnZZE-7wKzHfcFMWA_8_0"/>
      <w:bookmarkStart w:id="285" w:name="Tc_gs2qCXBWKk6fsENmV5ZU1A_6_8"/>
      <w:bookmarkStart w:id="286" w:name="Tc_3wL8mMCIFk-d5hqUmqHt9w_6_5"/>
      <w:bookmarkStart w:id="287" w:name="Tc_MfekU67Ntkyc9IqtAG3fNg_6_2"/>
      <w:bookmarkStart w:id="288" w:name="Tc_cSbcVJ2GAEydQZlOROnkqw_6_0"/>
      <w:bookmarkStart w:id="289" w:name="Tc_5HIrZmpMLkqxVu1aXsB5Hw_4_13"/>
      <w:bookmarkStart w:id="290" w:name="Tc_twE-3_6q70Cw3wqPp4Iq4Q_4_10"/>
      <w:bookmarkStart w:id="291" w:name="Tc_qW9BMgErkku73cDgzRyr6Q_4_7"/>
      <w:bookmarkStart w:id="292" w:name="Tc_ur4qidgj9UCmefVEYhaJ2g_4_4"/>
      <w:bookmarkStart w:id="293" w:name="Tc_98NCBijrhEmDgfjdrhGCkQ_4_0"/>
      <w:bookmarkStart w:id="294" w:name="Tc_8-5nhgaS6UmivOodiOkmEQ_3_13"/>
      <w:bookmarkStart w:id="295" w:name="Tc__NhqXO7lGEaMsK5iphFpyA_3_10"/>
      <w:bookmarkStart w:id="296" w:name="Tc_pjz3OKhG7kGNaDqTDuLuZQ_3_7"/>
      <w:bookmarkStart w:id="297" w:name="Tc_8oJ6aBfezUCM6hqwvu3DHg_3_4"/>
      <w:bookmarkStart w:id="298" w:name="Tc_n7PHRaGTO0eY4p4mEfrq0g_3_2"/>
      <w:bookmarkStart w:id="299" w:name="Tc_JO-_U3DRM0y2fYyecagWWg_2_13"/>
      <w:bookmarkStart w:id="300" w:name="Tc_9ela8lu0_k68hGc4G-zcxA_2_10"/>
      <w:bookmarkStart w:id="301" w:name="Tc_p3x8_AVRlUqENY81CqlxWQ_2_7"/>
      <w:bookmarkStart w:id="302" w:name="Tc_lwSgMmp2hkS5qFeLkvSanw_2_2"/>
      <w:bookmarkStart w:id="303" w:name="Tc_Ba0E-RuAIUKwVNr-thmreA_1_13"/>
      <w:bookmarkStart w:id="304" w:name="Tc_HJKGnLWMykit4VUFwwSVVA_1_7"/>
      <w:bookmarkStart w:id="305" w:name="_8a49166c_8d21_4757_a95b_7501d61ad02d"/>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tbl>
      <w:tblPr>
        <w:tblW w:w="8581" w:type="dxa"/>
        <w:jc w:val="left"/>
        <w:tblInd w:w="0" w:type="dxa"/>
        <w:tblLayout w:type="fixed"/>
        <w:tblCellMar>
          <w:top w:w="0" w:type="dxa"/>
          <w:left w:w="0" w:type="dxa"/>
          <w:bottom w:w="0" w:type="dxa"/>
          <w:right w:w="0" w:type="dxa"/>
        </w:tblCellMar>
      </w:tblPr>
      <w:tblGrid>
        <w:gridCol w:w="2221"/>
        <w:gridCol w:w="326"/>
        <w:gridCol w:w="826"/>
        <w:gridCol w:w="326"/>
        <w:gridCol w:w="236"/>
        <w:gridCol w:w="455"/>
        <w:gridCol w:w="326"/>
        <w:gridCol w:w="196"/>
        <w:gridCol w:w="826"/>
        <w:gridCol w:w="326"/>
        <w:gridCol w:w="217"/>
        <w:gridCol w:w="834"/>
        <w:gridCol w:w="326"/>
        <w:gridCol w:w="224"/>
        <w:gridCol w:w="916"/>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410335" cy="175260"/>
                      <wp:effectExtent l="0" t="0" r="0" b="0"/>
                      <wp:wrapNone/>
                      <wp:docPr id="30" name="Frame30"/>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24510" cy="175260"/>
                      <wp:effectExtent l="0" t="0" r="0" b="0"/>
                      <wp:wrapNone/>
                      <wp:docPr id="32" name="Frame3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9860" cy="175260"/>
                      <wp:effectExtent l="0" t="0" r="0" b="0"/>
                      <wp:wrapNone/>
                      <wp:docPr id="34" name="Frame34"/>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88925" cy="175260"/>
                      <wp:effectExtent l="0" t="0" r="0" b="0"/>
                      <wp:wrapNone/>
                      <wp:docPr id="35" name="Frame35"/>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24460" cy="175260"/>
                      <wp:effectExtent l="0" t="0" r="0" b="0"/>
                      <wp:wrapNone/>
                      <wp:docPr id="37" name="Frame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24510" cy="175260"/>
                      <wp:effectExtent l="0" t="0" r="0" b="0"/>
                      <wp:wrapNone/>
                      <wp:docPr id="38" name="Frame3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7795" cy="175260"/>
                      <wp:effectExtent l="0" t="0" r="0" b="0"/>
                      <wp:wrapNone/>
                      <wp:docPr id="40" name="Frame40"/>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29590" cy="175260"/>
                      <wp:effectExtent l="0" t="0" r="0" b="0"/>
                      <wp:wrapNone/>
                      <wp:docPr id="41" name="Frame41"/>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2240" cy="175260"/>
                      <wp:effectExtent l="0" t="0" r="0" b="0"/>
                      <wp:wrapNone/>
                      <wp:docPr id="43" name="Frame43"/>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81660" cy="175260"/>
                      <wp:effectExtent l="0" t="0" r="0" b="0"/>
                      <wp:wrapNone/>
                      <wp:docPr id="44" name="Frame4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43" w:type="dxa"/>
            <w:gridSpan w:val="4"/>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4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2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 January 1, 2022</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3,336,500</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455"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334</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1,267,993</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(405,732)</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862,595</w:t>
            </w:r>
          </w:p>
        </w:tc>
      </w:tr>
      <w:tr>
        <w:trPr/>
        <w:tc>
          <w:tcPr>
            <w:tcW w:w="22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45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45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(121,627)</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(121,627)</w:t>
            </w:r>
          </w:p>
        </w:tc>
      </w:tr>
      <w:tr>
        <w:trPr/>
        <w:tc>
          <w:tcPr>
            <w:tcW w:w="22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 March 31, 2022</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3,336,500</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4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334</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1,267,993</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(527,359)</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740,968</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6" w:name="_48959803_dc03_40ac_9446_67c22d15160d"/>
      <w:bookmarkEnd w:id="306"/>
      <w:r>
        <w:rPr>
          <w:rFonts w:ascii="Times New Roman;Times;serif" w:hAnsi="Times New Roman;Times;serif"/>
          <w:b/>
          <w:sz w:val="20"/>
        </w:rPr>
        <w:t>ROTH CH ACQUISITION IV CO.</w:t>
      </w:r>
    </w:p>
    <w:p>
      <w:pPr>
        <w:pStyle w:val="TextBody"/>
        <w:bidi w:val="0"/>
        <w:spacing w:before="0" w:after="0"/>
        <w:ind w:left="0" w:right="0" w:hanging="0"/>
        <w:jc w:val="center"/>
        <w:rPr>
          <w:rFonts w:ascii="Times New Roman;Times;serif" w:hAnsi="Times New Roman;Times;serif"/>
          <w:b/>
          <w:sz w:val="20"/>
        </w:rPr>
      </w:pPr>
      <w:bookmarkStart w:id="307" w:name="CONDENSEDSTATEMENTOFCASHFLOWS_840567"/>
      <w:bookmarkStart w:id="308" w:name="_676047"/>
      <w:bookmarkEnd w:id="307"/>
      <w:bookmarkEnd w:id="308"/>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09" w:name="Tc_TVIHdM-c50CE16pIQF6vAg_34_6"/>
      <w:bookmarkStart w:id="310" w:name="Tc_nJhBs1C_w0KXnj2s0C9lQA_34_5"/>
      <w:bookmarkStart w:id="311" w:name="Tc_Y5Y1nP94FE6z-H-wcJrvVg_34_2"/>
      <w:bookmarkStart w:id="312" w:name="Tc_5Oi301GcA0iS7JujMw-ZYg_34_0"/>
      <w:bookmarkStart w:id="313" w:name="Tc_CuyoJ7zRZ0K4A9mmhBol2w_33_0"/>
      <w:bookmarkStart w:id="314" w:name="Tc__hsRYFMOF0Od_iFq5iO0rQ_31_6"/>
      <w:bookmarkStart w:id="315" w:name="Tc_7xfmmWAh0U2FRwspFcg6jQ_31_5"/>
      <w:bookmarkStart w:id="316" w:name="Tc_s72jrIf7zUisSImdMcxhcg_31_2"/>
      <w:bookmarkStart w:id="317" w:name="Tc_tfnAsAKYUUapu8umR3xaog_31_0"/>
      <w:bookmarkStart w:id="318" w:name="Tc_Y9u_7G0R6UO-jR0LgriCNQ_30_6"/>
      <w:bookmarkStart w:id="319" w:name="Tc_gG4grMcXVU-eikkVSrlwbQ_30_5"/>
      <w:bookmarkStart w:id="320" w:name="Tc_PfJSruaeFUaZFe4HsVcWPg_30_2"/>
      <w:bookmarkStart w:id="321" w:name="Tc_BQ3niUc6WUeZlfbSa9AjcQ_30_0"/>
      <w:bookmarkStart w:id="322" w:name="Tc_lAk1IphXU0eBPi-sJetSSw_29_0"/>
      <w:bookmarkStart w:id="323" w:name="Tc_mFYRC03be0qharv2dPfgvw_27_5"/>
      <w:bookmarkStart w:id="324" w:name="Tc_iKHjebAO6UW4AoIW1N5ZZQ_27_2"/>
      <w:bookmarkStart w:id="325" w:name="Tc_2qS9cXd-OUCYYZbjBksp8g_27_0"/>
      <w:bookmarkStart w:id="326" w:name="Tc_81jqhMRxvEa0SXQDXippWw_26_0"/>
      <w:bookmarkStart w:id="327" w:name="Tc_0tqUbvXGdUGDrFQ3PFcbEA_25_0"/>
      <w:bookmarkStart w:id="328" w:name="Tc_d8MgP4RqW0WDZdsqXYVYNA_23_6"/>
      <w:bookmarkStart w:id="329" w:name="Tc__d660AH2AEu8JsO-_WzSbw_23_0"/>
      <w:bookmarkStart w:id="330" w:name="Tc_tE5-i2Gt0Eex0AKAtmJN7A_22_6"/>
      <w:bookmarkStart w:id="331" w:name="Tc_C-eH4xC1qEyOYQ_vXHa8Uw_22_0"/>
      <w:bookmarkStart w:id="332" w:name="Tc_rKRG5ks8dke5U8ECQeRsIA_21_6"/>
      <w:bookmarkStart w:id="333" w:name="Tc_8mPmJEX2tkmD63eoNRCLWA_21_0"/>
      <w:bookmarkStart w:id="334" w:name="Tc_i8XNkuGm5Ua5-gBaysjO1w_20_0"/>
      <w:bookmarkStart w:id="335" w:name="Tc_FoKZKiq8OkaDgO0-lyAbKw_18_6"/>
      <w:bookmarkStart w:id="336" w:name="Tc_LdAtKsh-nEqQbXIA6tftww_18_0"/>
      <w:bookmarkStart w:id="337" w:name="Tc_29uoJTtfhUKPCnA2Wf37KQ_17_6"/>
      <w:bookmarkStart w:id="338" w:name="Tc_Fnr-Xb63VU6JOOssZFT7MQ_17_0"/>
      <w:bookmarkStart w:id="339" w:name="Tc_XrMQZz08GEijv-hjz9ESXA_16_0"/>
      <w:bookmarkStart w:id="340" w:name="Tc_J97ZA1tGoEyRzmmGIJYtCQ_14_0"/>
      <w:bookmarkStart w:id="341" w:name="Tc_vXndJiC8n0iPAicQE0ln1g_13_0"/>
      <w:bookmarkStart w:id="342" w:name="Tc_Hs0m39N9fkyZZOiGjvUguQ_12_3"/>
      <w:bookmarkStart w:id="343" w:name="Tc_UiCxhjaCKUWX2sRRL3zEZQ_12_0"/>
      <w:bookmarkStart w:id="344" w:name="Tc_EIaHpQIqdUCdElHh3zBOEQ_11_6"/>
      <w:bookmarkStart w:id="345" w:name="Tc_trT4Et-MsUWqfo24r5IgzQ_11_0"/>
      <w:bookmarkStart w:id="346" w:name="Tc_ueQK9hrQZ0KTHoDl3iAC0Q_10_0"/>
      <w:bookmarkStart w:id="347" w:name="Tc_QuOmXkBK0kaWXZ3zCojRhQ_9_0"/>
      <w:bookmarkStart w:id="348" w:name="Tc_0WHXxIiXr0eRtbtKNYbOXA_8_3"/>
      <w:bookmarkStart w:id="349" w:name="Tc_H8l-HBfl0kWbcTE4u7auYg_8_0"/>
      <w:bookmarkStart w:id="350" w:name="Tc_waWEOqXBw02HrdB5kcw1yg_7_0"/>
      <w:bookmarkStart w:id="351" w:name="Tc_T7N6jo-8OkCh5uBg_OBPeA_6_0"/>
      <w:bookmarkStart w:id="352" w:name="Tc_8Nhsz4YJhkaFqBz48BPPlQ_5_5"/>
      <w:bookmarkStart w:id="353" w:name="Tc_7U9bj6zjJUCHBHeG0iEXXA_5_2"/>
      <w:bookmarkStart w:id="354" w:name="Tc_szYYwZRmw0uKAdSUi6ELpw_5_0"/>
      <w:bookmarkStart w:id="355" w:name="Tc_TleTxzCXT0azY4DEcJEg9Q_4_0"/>
      <w:bookmarkStart w:id="356" w:name="Tc_7iwPaDpyWEGM9hyqulxBeg_3_5"/>
      <w:bookmarkStart w:id="357" w:name="Tc_cCWZ6zRabEyYaNG_tEVGZg_3_2"/>
      <w:bookmarkStart w:id="358" w:name="Tc_dAOEEyLM4EeT7T4-EEuPEA_2_2"/>
      <w:bookmarkStart w:id="359" w:name="Tc_BeEyyCNMxk2QVf03p1h-7g_1_2"/>
      <w:bookmarkStart w:id="360" w:name="_065ce1a5_62e3_42f9_a2d1_d9064e5b5e97"/>
      <w:bookmarkStart w:id="361" w:name="Tc_TVIHdM-c50CE16pIQF6vAg_34_6"/>
      <w:bookmarkStart w:id="362" w:name="Tc_nJhBs1C_w0KXnj2s0C9lQA_34_5"/>
      <w:bookmarkStart w:id="363" w:name="Tc_Y5Y1nP94FE6z-H-wcJrvVg_34_2"/>
      <w:bookmarkStart w:id="364" w:name="Tc_5Oi301GcA0iS7JujMw-ZYg_34_0"/>
      <w:bookmarkStart w:id="365" w:name="Tc_CuyoJ7zRZ0K4A9mmhBol2w_33_0"/>
      <w:bookmarkStart w:id="366" w:name="Tc__hsRYFMOF0Od_iFq5iO0rQ_31_6"/>
      <w:bookmarkStart w:id="367" w:name="Tc_7xfmmWAh0U2FRwspFcg6jQ_31_5"/>
      <w:bookmarkStart w:id="368" w:name="Tc_s72jrIf7zUisSImdMcxhcg_31_2"/>
      <w:bookmarkStart w:id="369" w:name="Tc_tfnAsAKYUUapu8umR3xaog_31_0"/>
      <w:bookmarkStart w:id="370" w:name="Tc_Y9u_7G0R6UO-jR0LgriCNQ_30_6"/>
      <w:bookmarkStart w:id="371" w:name="Tc_gG4grMcXVU-eikkVSrlwbQ_30_5"/>
      <w:bookmarkStart w:id="372" w:name="Tc_PfJSruaeFUaZFe4HsVcWPg_30_2"/>
      <w:bookmarkStart w:id="373" w:name="Tc_BQ3niUc6WUeZlfbSa9AjcQ_30_0"/>
      <w:bookmarkStart w:id="374" w:name="Tc_lAk1IphXU0eBPi-sJetSSw_29_0"/>
      <w:bookmarkStart w:id="375" w:name="Tc_mFYRC03be0qharv2dPfgvw_27_5"/>
      <w:bookmarkStart w:id="376" w:name="Tc_iKHjebAO6UW4AoIW1N5ZZQ_27_2"/>
      <w:bookmarkStart w:id="377" w:name="Tc_2qS9cXd-OUCYYZbjBksp8g_27_0"/>
      <w:bookmarkStart w:id="378" w:name="Tc_81jqhMRxvEa0SXQDXippWw_26_0"/>
      <w:bookmarkStart w:id="379" w:name="Tc_0tqUbvXGdUGDrFQ3PFcbEA_25_0"/>
      <w:bookmarkStart w:id="380" w:name="Tc_d8MgP4RqW0WDZdsqXYVYNA_23_6"/>
      <w:bookmarkStart w:id="381" w:name="Tc__d660AH2AEu8JsO-_WzSbw_23_0"/>
      <w:bookmarkStart w:id="382" w:name="Tc_tE5-i2Gt0Eex0AKAtmJN7A_22_6"/>
      <w:bookmarkStart w:id="383" w:name="Tc_C-eH4xC1qEyOYQ_vXHa8Uw_22_0"/>
      <w:bookmarkStart w:id="384" w:name="Tc_rKRG5ks8dke5U8ECQeRsIA_21_6"/>
      <w:bookmarkStart w:id="385" w:name="Tc_8mPmJEX2tkmD63eoNRCLWA_21_0"/>
      <w:bookmarkStart w:id="386" w:name="Tc_i8XNkuGm5Ua5-gBaysjO1w_20_0"/>
      <w:bookmarkStart w:id="387" w:name="Tc_FoKZKiq8OkaDgO0-lyAbKw_18_6"/>
      <w:bookmarkStart w:id="388" w:name="Tc_LdAtKsh-nEqQbXIA6tftww_18_0"/>
      <w:bookmarkStart w:id="389" w:name="Tc_29uoJTtfhUKPCnA2Wf37KQ_17_6"/>
      <w:bookmarkStart w:id="390" w:name="Tc_Fnr-Xb63VU6JOOssZFT7MQ_17_0"/>
      <w:bookmarkStart w:id="391" w:name="Tc_XrMQZz08GEijv-hjz9ESXA_16_0"/>
      <w:bookmarkStart w:id="392" w:name="Tc_J97ZA1tGoEyRzmmGIJYtCQ_14_0"/>
      <w:bookmarkStart w:id="393" w:name="Tc_vXndJiC8n0iPAicQE0ln1g_13_0"/>
      <w:bookmarkStart w:id="394" w:name="Tc_Hs0m39N9fkyZZOiGjvUguQ_12_3"/>
      <w:bookmarkStart w:id="395" w:name="Tc_UiCxhjaCKUWX2sRRL3zEZQ_12_0"/>
      <w:bookmarkStart w:id="396" w:name="Tc_EIaHpQIqdUCdElHh3zBOEQ_11_6"/>
      <w:bookmarkStart w:id="397" w:name="Tc_trT4Et-MsUWqfo24r5IgzQ_11_0"/>
      <w:bookmarkStart w:id="398" w:name="Tc_ueQK9hrQZ0KTHoDl3iAC0Q_10_0"/>
      <w:bookmarkStart w:id="399" w:name="Tc_QuOmXkBK0kaWXZ3zCojRhQ_9_0"/>
      <w:bookmarkStart w:id="400" w:name="Tc_0WHXxIiXr0eRtbtKNYbOXA_8_3"/>
      <w:bookmarkStart w:id="401" w:name="Tc_H8l-HBfl0kWbcTE4u7auYg_8_0"/>
      <w:bookmarkStart w:id="402" w:name="Tc_waWEOqXBw02HrdB5kcw1yg_7_0"/>
      <w:bookmarkStart w:id="403" w:name="Tc_T7N6jo-8OkCh5uBg_OBPeA_6_0"/>
      <w:bookmarkStart w:id="404" w:name="Tc_8Nhsz4YJhkaFqBz48BPPlQ_5_5"/>
      <w:bookmarkStart w:id="405" w:name="Tc_7U9bj6zjJUCHBHeG0iEXXA_5_2"/>
      <w:bookmarkStart w:id="406" w:name="Tc_szYYwZRmw0uKAdSUi6ELpw_5_0"/>
      <w:bookmarkStart w:id="407" w:name="Tc_TleTxzCXT0azY4DEcJEg9Q_4_0"/>
      <w:bookmarkStart w:id="408" w:name="Tc_7iwPaDpyWEGM9hyqulxBeg_3_5"/>
      <w:bookmarkStart w:id="409" w:name="Tc_cCWZ6zRabEyYaNG_tEVGZg_3_2"/>
      <w:bookmarkStart w:id="410" w:name="Tc_dAOEEyLM4EeT7T4-EEuPEA_2_2"/>
      <w:bookmarkStart w:id="411" w:name="Tc_BeEyyCNMxk2QVf03p1h-7g_1_2"/>
      <w:bookmarkStart w:id="412" w:name="_065ce1a5_62e3_42f9_a2d1_d9064e5b5e97"/>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tbl>
      <w:tblPr>
        <w:tblW w:w="8952" w:type="dxa"/>
        <w:jc w:val="left"/>
        <w:tblInd w:w="0" w:type="dxa"/>
        <w:tblLayout w:type="fixed"/>
        <w:tblCellMar>
          <w:top w:w="0" w:type="dxa"/>
          <w:left w:w="0" w:type="dxa"/>
          <w:bottom w:w="0" w:type="dxa"/>
          <w:right w:w="0" w:type="dxa"/>
        </w:tblCellMar>
      </w:tblPr>
      <w:tblGrid>
        <w:gridCol w:w="6031"/>
        <w:gridCol w:w="326"/>
        <w:gridCol w:w="211"/>
        <w:gridCol w:w="901"/>
        <w:gridCol w:w="326"/>
        <w:gridCol w:w="211"/>
        <w:gridCol w:w="946"/>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829685" cy="175260"/>
                      <wp:effectExtent l="0" t="0" r="0" b="0"/>
                      <wp:wrapNone/>
                      <wp:docPr id="45" name="Frame45"/>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72135" cy="175260"/>
                      <wp:effectExtent l="0" t="0" r="0" b="0"/>
                      <wp:wrapNone/>
                      <wp:docPr id="48" name="Frame4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00710" cy="175260"/>
                      <wp:effectExtent l="0" t="0" r="0" b="0"/>
                      <wp:wrapNone/>
                      <wp:docPr id="51" name="Frame5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center"/>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(411,082)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(121,627)</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earned on marketable securities held in Trust Account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(245,201)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(29,503)</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marketable securities held in Trust Account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(4,277)</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(35,656)</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insurance, long-term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44,078</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281,682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(122,600)</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(621,327)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(269,585)</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withdrawn from Trust Account to pay franchise and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321,539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321,539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promissory note – related party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Reimbursement of extension payment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335,440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Change in 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35,652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(269,585)</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802,606</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 End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123,759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533,021</w:t>
            </w:r>
          </w:p>
        </w:tc>
      </w:tr>
      <w:tr>
        <w:trPr/>
        <w:tc>
          <w:tcPr>
            <w:tcW w:w="60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Remeasurement for common stock to redemption amount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326,452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Extension costs related to non-redemption agreements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163,181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Information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paid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ROTH CH ACQUISITION IV CO.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413" w:name="NOTE1DESCRIPTIONOFORGANIZATIONBUSINESSOP"/>
      <w:bookmarkStart w:id="414" w:name="_300573"/>
      <w:bookmarkEnd w:id="413"/>
      <w:bookmarkEnd w:id="414"/>
      <w:r>
        <w:rPr>
          <w:rFonts w:ascii="Times New Roman;Times;serif" w:hAnsi="Times New Roman;Times;serif"/>
          <w:b/>
          <w:sz w:val="20"/>
        </w:rPr>
        <w:t>NOTE 1. DESCRIPTION OF ORGANIZATION, BUSINESS OPERATIONS AND 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Roth CH Acquisition IV Co. (the “Company”) was incorporated in Delaware on February 13, 2019. The Company is a blank check company formed for the purpose of entering into a merger, share exchange, asset acquisition, stock purchase, recapitalization, reorganization or other similar business combination with one or more businesses or entities (the “Business Combination”).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an early stage and emerging growth company and, as such, the Company is subject to all of the risks associated with early stage and emerging growth companies.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2023, the Company had not commenced any operations. All the Company’s activities through March 31, 2023 related to its formation and the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on marketable securities held in the Trust Account (as defined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registration statement for the Company’s Initial Public Offering was declared effective on August 5, 2021. On August 10, 2021, the Company consummated the Initial Public Offering of 11,500,000 units (the “Units” and, with respect to the shares of common stock included in the Units sold, the “Public Shares”), which included the full exercise by the underwriters of their over-allotment option in the amount of 1,500,000 Units, at $10.00 per Unit, generating gross proceeds of $115,000,000, which is described in Note 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Simultaneously with the closing of the Initial Public Offering, the Company consummated the sale of 461,500 units (the “Private Units”) at a price of $10.00 per Private Unit in a private placement to certain of the Company’s initial stockholders, generating gross proceeds of $4,615,000, which is described in Note 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Transaction costs amounted to $1,646,673, consisting of $1,150,000 of underwriting fees, and $496,673 of other offering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Following the closing of the Initial Public Offering on August 10, 2021, an amount of $116,725,000 ($10.15 per Unit) from the net proceeds of the sale of the Units in the Initial Public Offering and the sale of the Private Units was placed in a trust account (the “Trust Account”), located in the United States and held in cash items or invested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and (ii) the distribution of the Trust Account, as described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management has broad discretion with respect to the specific application of the net proceeds of the Initial Public Offering and the sale of the Private Units, although substantially all of the net proceeds are intended to be applied generally toward consummating a Business Combination. There is no assurance that the Company will be able to complete a Business Combination successfully. The Company must complete a Business Combination having an aggregate fair market value of at least 80% of the assets held in the Trust Account (excluding taxes payable on income earned on the Trust Account) at the time of the agreement to enter into an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$10.15 per Public Share, plus any pro rata interest earned on the funds held in the Trust Account and not previously released to the Company to pay its tax obligations). There will be no redemption rights upon the completion of a Business Combination with respect to the Company’s warrants.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ROTH CH ACQUISITION IV CO.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will proceed with a Business Combination if the Company has net tangible assets of at least $5,000,001 either immediately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containing substantially the same information as would be included in a proxy statement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holders of the Company’s shares prior to the Initial Public Offering (the “Initial Stockholders”) have agreed (a) to vote their Founder Shares (as defined in Note 5), Private Shares (as defined in Note 4) and any Public Shares purchased during or after the Initial Public Offering in favor of approving a Business Combination, to the extent permitted by law, and (b) not to redeem any shares in connection with a stockholder vote to approve a Business Combination or sell any shares to the Company in a tender offer in connection with a Business Combination. Additionally, each public stockholder may elect to redeem their Public Shares, irrespective of how or whether they vote on the proposed transaction or do not vote at all.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Initial Stockholders have agreed (a) to waive their redemption rights with respect to their Founder Shares, Private Shares and Public Shares held by them in connection with the completion of a Business Combination and (b) not to propose an amendment to the Amended and Restated Certificate of Incorporation that would affect a public stockholders’ ability to convert or sell their shares to the Company in connection with a Business Combination or affect the substance or timing of the Company’s obligation to redeem 100% of its Public Shares if the Company does not complete a Business Combination, unless the Company provides the public stockholders with the opportunity to redeem their Public Shares in conjunction with any such amendment.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will have until July 10, 2023 to complete a Business Combination (the “Combination Period”). If the Company is unable to complete a Business Combination within the Combination Period, the Company will (i) cease all operations except for the purposes of winding up, (ii) as promptly as reasonably possible but not more than </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business days thereafter redeem 100% of the Public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Company’s then stockholders and subject to the requirements of the DGCL, including the adoption of a resolution by the Board of Directors pursuant to Section 275(a) of the DGCL finding the dissolution of the Company advisable and the provision of such notices as are required by said Section 275(a) of the DGCL, dissolve and liquidate the balance of the Company’s net assets to its remaining stockholders, as part of the Company’s plan of dissolution and liquidation, subject (in the case of (ii) and (iii) above) to the Company’s obligations under the DGCL to provide for claims of creditors and other requirements of applicable law. In such event, the per share redemption price shall be equal to a pro rata share of the Trust Account plus any pro rata interest earned on the funds held in the Trust Account and not previously released to the Company for its working capital requirements or necessary to pay its taxes divided by the total number of Public Shares then outstanding.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Initial Stockholders have agreed to waive their liquidation rights with respect to the Founder Shares and Private Shares if the Company fails to complete a Business Combination within the Combination Period. However, if the Initial Stockholders acquire Public Shares in or after the Initial Public Offering, such Public Shares will be entitled to liquidating distributions from the Trust Account if the Company fails to complete a Business Combination within the Combination Period. In the event of such distribution, it is possible that the per share value of the assets remaining available for distribution will be less than the Initial Public Offering price per Unit.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ROTH CH ACQUISITION IV CO.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order to protect the amounts held in the Trust Account, certain of the Initial Stockholders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(i) $10.15 per Public Share or (ii)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valid and enforceable agreement with the Company waiving any right, title, interest or claim of any kind they may have in or to any monies held in the Trust Account and except as to any claims under the Company’s indemnity of the underwriters of Initial Public Offering against certain liabilities, including liabilities under the Securities Act of 1933, as amended (the “Securities Act”). Moreover, in the event that an executed waiver is deemed to be unenforceable against a third party, the Initial Stockholders will not be responsible to the extent of any liability for such third-party claims. The Company will seek to reduce the possibility that the Initial Stockholders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9, 2023, the Company received a letter from The Nasdaq Stock Market LLC (“Nasdaq”), which stated that the Company no longer complied with Nasdaq’s continued listing rules due to the Company not having held an annual meeting of shareholders within 12 months of the Company’s fiscal year end, as required pursuant to Nasdaq Listing Rule 5620(a). In accordance with Nasdaq Listing Rule 5810(c)(2)(G), the Company had 45 calendar days to submit a plan to regain compliance and, if Nasdaq accepted the plan, Nasdaq would grant the Company an exception of up to 180 calendar days from the fiscal year end, or until June 29, 2023, to regain compliance. The Company held its Annual Meeting of Stockholders on February 13,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10, 2023, March 10, 2023, April 10, 2023, and May 10, 2023 Tigo Energy paid certain Initial Stockholders an aggregate amount of $326,362 (or $0.05 per share), according to the terms of the Non-Redemption Agreements in connection with the one-month Trust extensions from February 10, 2023 to March 10, 2023, from March 10, 2023 to April 10, 2023, from April 10, 2023 to May 10, 2023, and from May 10, 2023 to June 10, 2023.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Merger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5, 2022, the Company, entered into an Agreement and Plan of Merger (as it may be amended, supplemented or otherwise modified from time to time, the “Merger Agreement”), by and among the Company, Roth IV Merger Sub Inc., a Delaware corporation and a wholly-owned subsidiary of the Company (“Merger Sub”), and Tigo Energy, Inc., a Delaware corporation (the “Tigo Energy”). The transactions set forth in the Merger Agreement, including the Merger (defined below), will constitute a “Business Combination” as contemplated by the Company’s Amended and Restated Certificate of Incorporation.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Subject to the terms and conditions set forth in the Merger Agreement, Merger Sub will merge with and into Tigo Energy, with Tigo Energy surviving as a wholly-owned subsidiary of the Company (the “Merger”). Upon the closing and the other transactions contemplated by the Merger Agreement, the Company will change its name to “Tigo Energy, Inc.”</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Consideration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Subject to the terms and conditions set forth in the Merger Agreement, in consideration of the Merger, the base purchase price of $600,000,000 will be payable through converting each outstanding share of Tigo Energy’s common stock (after giving effect to the consummation of Tigo Energy’s warrant exercise and Tigo Energy’s preferred conversion) into the right to receive 60,000,000 shares of the Company’s Common Stock at a deemed price of ten dollars ($10.00) per share, equal to (a) the exchange ratio, multiplied by (b) the number of shares of Tigo Energy’s common stock held by such holder as of immediately prior to the effective time of the Merger, with fractional shares rounded down to the nearest whole share. In addition, at the closing, each outstanding Tigo Energy’s option will be assumed and converted into an option with respect to a number of shares of the Company’s Common Stock in the manner set forth in the Merger Agreement, and each outstanding Tigo Energy’s warrant (after giving effect to Tigo Energy’s warrant exercise) to purchase Tigo Energy’s common stock will be assumed and converted into a warrant with respect to a number of shares of the Company’s Common Stock in the manner set forth in the Merger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ROTH CH ACQUISITION IV CO.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base purchase price is subject to a dollar-for-dollar upward or downward adjustment in the event Tigo Energy raises or obtains a commitment to raise capital prior to the closing, including capital raised through the conversion of debt securities (but specifically excluding capital raised through convertible notes or similar debt instruments convertible into or exercisable for capital stock or other equity securities of Tigo Energy to the extent such notes or similar debt instruments have not so converted). If Tigo Energy raises or obtains a commitment to raise capital based on a pre-money valuation at or exceeding $500,000,000, the base purchase price will increase by the aggregate amount of capital raised or committed to be raised by Tigo Energy through such capital raising transaction. Conversely, if the pre-money valuation is below $500,000,000, the base purchase price will decrease by an amount equal to the difference between $500,000,000 and the actual pre-money valuation.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Trust Extension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20, 2022, the Company held a special meeting of stockholders, at which the Company’s stockholders approved an amendment (the “Extension Amendment”) to the Company’s amended and restated certificate of incorporation, to extend the date by which the Company has to consummate a business combination up to five (5) times, each such extension for an additional one (1) month period, from February 10, 2023 to July 10, 2023. In connection with the Extension Amendment, stockholders holding 9,121,751 shares of redeemable common stock exercised their right to redeem such shares for a pro rata portion of the funds in the Trust Account at a pro rata redemption price of approximately $10.24 per share, and a total of $93,419,442 was released from the Trust Account.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 and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2023, the Company had $123,759 in its operating bank account and adjusted working capital deficit of $886,992 which excludes franchise and income taxes payable as such amounts can be paid from the interest earned in the Trust Account.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Until the consummation of a Business Combination, the Company will be using the funds not held in the Trust Account for performing due diligence on prospective target businesses, paying for travel expenditures, and structuring, negotiating, and consummating the Business Combination.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 significant working capital deficiency and has incurred and expects to continue to incur significant costs in pursuit of its acquisition plans. The Company will need to raise additional capital through loans or additional investments from the Initial Stockholders and the Company’s officers and directors or their affiliates. The Initial Stockholders and the Company’s officers and directors or their affiliates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If the Company is unable to complete the Business Combination because it does not have sufficient funds available, the Company will be forced to cease operations and liquidate the Trust Account.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Company’s assessment of going concern considerations in accordance with the Financial Accounting Standards Board’s (“FASB’s”) Accounting Standards Update (“ASU”) 2014-15, “Disclosures of Uncertainties about an Entity’s Ability to Continue as a Going Concern,” the Company has until July 10, 2023 to consummate a Business Combination. It is uncertain that the Company will be able to consummate a Business Combination by this time. If a Business Combination is not consummated by this date and an extension has not been effected by the Company and approved by the Company’s stockholders, there will be a mandatory liquidation and subsequent dissolution of the Company. Management has determined that the liquidity condition and the date for mandatory liquidation and subsequent dissolution raises substantial doubt about the Company’s ability to continue as a going concern. No adjustments have been made to the carrying amounts of assets or liabilities should the Company be required to liquidate after July 10, 2023. The Company intends to complete a Business Combination before the mandatory liquidation date. The Company is within 12 months of its mandatory liquidation date as of the time of filing this Quarterly Report on Form 10-Q.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ROTH CH ACQUISITION IV CO.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continues to evaluate the impact of the COVID-19 pandemic and has concluded that while it is reasonably possible that COVID-19 could have a negative effect on the Company’s financial position, results of operations and/or its search for a target company for a Business Combination, the specific impact is not readily determinable as of the date of these condensed consolidated financial statements. The condensed consolidated financial statements do not include any adjustments that might result from the outcome of this uncertainty.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Inflation Reduction Act of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accompanying unaudited condensed consolidated financial statements should be read in conjunction with the Company’s Annual Report on Form 10-K for the year ended December 31, 2022, as filed with the SEC on March 31, 2023. The interim results for the three months ended March 31, 2023 are not necessarily indicative of the results to be expected for the year ending December 31, 2023 or for any future periods.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ROTH CH ACQUISITION IV CO.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condensed consolidated financial statements include the accounts of the Company and its wholly owned subsidiary. All significant intercompany balances and transactions have been eliminated in consolidation.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Emerging Growth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 Section 102(b)(l)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the condensed consolidated financial statements in conformity with GAAP requires the Company’s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Making estimates requires management to exercise significant judgment. It is at least reasonably possible that the estimate of the effect of a condition, situation or set of circumstances that existed at the date of the condensed consolidated financial statements, which management considered in formulating its estimate, could change in the near term due to one or more future confirming events. Accordingly, the actual results could differ significantly from those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considers all short-term investments with an original maturity of three months or less when purchased to be cash equivalents. The Company did not have any cash equivalents as of March 31, 2023 and December 31,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and Marketable Securities Held in Trust Account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At March 31, 2023 all of the assets held in the Trust account were held in money market funds which are invested primarily in U.S. Treasury Securities. At December 31, 2022, all of the assets held in the Trust Account were held in cash. The Company’s investments held in the Trust Account are classified as trading securities. Trading securities are presented on the balance sheets at fair value at the end of each reporting period. Gains and losses resulting from the change in fair value of these investments are included in interest earned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ROTH CH ACQUISITION IV CO.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marketable securities held in Trust Account in the accompanying statements of operations. The estimated fair values of investments held in the Trust Account are determined using available market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Offering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Offering costs consist of underwriting, legal, accounting and other expenses incurred through the balance sheet date that are directly related to the Initial Public Offering. Offering costs are allocated to the separable financial instruments issued in the Initial Public Offering based on a relative fair value basis, compared to total proceeds received. Offering costs amounted to $1,646,673, which were initially charged to temporary equity and then accreted to common stock subject to redemption upon the completion of the Initial Public Offering.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 Subject to Possible Redemption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its common stock subject to possible redemption in accordance with the guidance in Accounting Standards Codification (“ASC”), Topic 480 “Distinguishing Liabilities from Equity.” Shares of common stock subject to mandatory redemption is classified as a liability instrument and is measured at fair value. Conditionally redeemable common stock (including common stock that features redemption right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stockholders vote at the Special Meeting of Stockholders held by the Company on December 20, 2022, 9,121,751 shares of common stock were tendered for redemption.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Accordingly, at March 31, 2023 and December 31, 2022, 2,378,249 shares of common stock subject to possible redemption are presented at $10.30 and $10.23 redemption value, respectively, as temporary equity, outside of the stockholders’ deficit section of the Company’s balance sheets.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changes in redemption value immediately as they occur and adjusts the carrying value of redeemable common stock to equal the redemption value at the end of each reporting period. Immediately upon the closing of the Initial Public Offering, the Company recognized the accretion from initial book value to redemption amount value. The change in the carrying value of redeemable common stock resulted in a charge against additional paid-in capital.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ROTH CH ACQUISITION IV CO.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sz w:val="20"/>
        </w:rPr>
      </w:pPr>
      <w:bookmarkStart w:id="415" w:name="Tc_YHDwrK2jVUmcCY8bkNqdbA_14_2"/>
      <w:bookmarkStart w:id="416" w:name="Tc_BAEUD9Yjc0yqH0g4afMOCw_14_0"/>
      <w:bookmarkStart w:id="417" w:name="Tc_o3X8MYt6HU26nEJ_jRd_sQ_13_0"/>
      <w:bookmarkStart w:id="418" w:name="Tc_DOpTEFdh1UWV9CQyXYrHyw_12_0"/>
      <w:bookmarkStart w:id="419" w:name="Tc_gAGzourilkGvtQfnmnhInA_11_0"/>
      <w:bookmarkStart w:id="420" w:name="Tc_rldEMqnLKkGlz4nBAMYDcQ_10_0"/>
      <w:bookmarkStart w:id="421" w:name="Tc_E5ldcGXzS02wzatZOEj7Yg_9_2"/>
      <w:bookmarkStart w:id="422" w:name="Tc_YhGWePjiXkWuhTiYv54aFQ_9_0"/>
      <w:bookmarkStart w:id="423" w:name="Tc_U2MuWrSAjkycPmsU-ToYSw_7_0"/>
      <w:bookmarkStart w:id="424" w:name="Tc_OcCD_qCIT0ix_wfYsz51Lw_6_0"/>
      <w:bookmarkStart w:id="425" w:name="Tc_aK9cQh2jFUqA6txMmVtlfg_5_0"/>
      <w:bookmarkStart w:id="426" w:name="Tc_GfHIdEhha0ygEdoAegrvug_4_0"/>
      <w:bookmarkStart w:id="427" w:name="Tc_YptYDtTaYkS98d_AQGgrNA_3_0"/>
      <w:bookmarkStart w:id="428" w:name="Tc_Ebf0JyscFUGkhdoAZ93zsQ_1_2"/>
      <w:bookmarkStart w:id="429" w:name="Tc_A1uCwG45jU6opugkHeIr_w_1_0"/>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r>
        <w:rPr>
          <w:rFonts w:ascii="Times New Roman;Times;serif" w:hAnsi="Times New Roman;Times;serif"/>
          <w:sz w:val="20"/>
        </w:rPr>
        <w:t>At March 31, 2023 and December 31, 2022, the common stock subject to possible redemption reflected in the balance sheets was reconciled in the following table:</w:t>
      </w:r>
    </w:p>
    <w:p>
      <w:pPr>
        <w:pStyle w:val="TextBody"/>
        <w:bidi w:val="0"/>
        <w:spacing w:before="0" w:after="240"/>
        <w:ind w:left="0" w:right="0" w:hanging="0"/>
        <w:jc w:val="both"/>
        <w:rPr/>
      </w:pPr>
      <w:r>
        <w:rPr/>
        <w:t>​</w:t>
      </w:r>
    </w:p>
    <w:tbl>
      <w:tblPr>
        <w:tblW w:w="7192" w:type="dxa"/>
        <w:jc w:val="left"/>
        <w:tblInd w:w="0" w:type="dxa"/>
        <w:tblLayout w:type="fixed"/>
        <w:tblCellMar>
          <w:top w:w="0" w:type="dxa"/>
          <w:left w:w="0" w:type="dxa"/>
          <w:bottom w:w="0" w:type="dxa"/>
          <w:right w:w="0" w:type="dxa"/>
        </w:tblCellMar>
      </w:tblPr>
      <w:tblGrid>
        <w:gridCol w:w="5671"/>
        <w:gridCol w:w="109"/>
        <w:gridCol w:w="211"/>
        <w:gridCol w:w="1201"/>
      </w:tblGrid>
      <w:tr>
        <w:trPr/>
        <w:tc>
          <w:tcPr>
            <w:tcW w:w="5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601085" cy="175260"/>
                      <wp:effectExtent l="0" t="0" r="0" b="0"/>
                      <wp:wrapNone/>
                      <wp:docPr id="52" name="Frame52"/>
                      <a:graphic xmlns:a="http://schemas.openxmlformats.org/drawingml/2006/main">
                        <a:graphicData uri="http://schemas.microsoft.com/office/word/2010/wordprocessingShape">
                          <wps:wsp>
                            <wps:cNvSpPr txBox="1"/>
                            <wps:spPr>
                              <a:xfrm>
                                <a:off x="0" y="0"/>
                                <a:ext cx="3601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53" name="Frame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762635" cy="175260"/>
                      <wp:effectExtent l="0" t="0" r="0" b="0"/>
                      <wp:wrapNone/>
                      <wp:docPr id="55" name="Frame55"/>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Common stock subject to possible redemption, December 31, 2021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116,725,000</w:t>
            </w:r>
          </w:p>
        </w:tc>
      </w:tr>
      <w:tr>
        <w:trPr/>
        <w:tc>
          <w:tcPr>
            <w:tcW w:w="56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Redemption of 9,121,751 shares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(93,419,442)</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Extension payment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(135,440)</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Remeasurement of carrying value to redemption value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1,152,044</w:t>
            </w:r>
          </w:p>
        </w:tc>
      </w:tr>
      <w:tr>
        <w:trPr/>
        <w:tc>
          <w:tcPr>
            <w:tcW w:w="56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Common stock subject to possible redemption, December 31, 2022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24,322,162</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Extension payment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(163,181)</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Remeasurement of carrying value to redemption value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326,452</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Common stock subject to possible redemption, March 31, 2023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0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24,485,433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Warrant Classification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Company has analyzed the Public Warrants and Private Warrants and determined they are considered to be freestanding instruments and do not exhibit any of the characteristics in ASC 480 and therefore are not classified as liabilities under ASC 480.</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income taxes under ASC 740, “Income Taxes.” ASC 740, Income Taxes, requires the recognition of deferred tax assets and liabilities for both the expected impact of differences between the unaudited condensed consolidated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As of March 31, 2023 and December 31, 2022, the Company’s deferred tax asset had a full valuation allowance recorded against it. The Company’s effective tax rate was (18.06%) and 0.00% for the three months ended March 31, 2023 and 2022, respectively. The effective tax rate differs from the statutory tax rate of 21% for the three months ended March 31, 2023 due to the permanent difference on M&amp;A Expenses and the increase in the valuation allowance on the deferred tax assets. and the effective tax rate differs from the statutory rate of 21% for the three months ended March 31, 2022, due to the valuation allowance on the deferred tax assets.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ASC 740 also clarifies the accounting for uncertainty in income taxes recognized in an enterprise’s financial statements and prescribes a recognition threshold and measurement process for financial statement recognition and measurement of a tax position taken or expected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ROTH CH ACQUISITION IV CO.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sz w:val="20"/>
        </w:rPr>
      </w:pPr>
      <w:bookmarkStart w:id="430" w:name="Tc_9X_-8M0IUU-UmtzPE943ew_10_11"/>
      <w:bookmarkStart w:id="431" w:name="Tc_T0KdHLNXlkivaWa0F5S-Tw_10_8"/>
      <w:bookmarkStart w:id="432" w:name="Tc_zwVbpKN7SUeqW-SemEcCqA_10_5"/>
      <w:bookmarkStart w:id="433" w:name="Tc_8yo-3_qclUSf9mC2x1WGkw_10_2"/>
      <w:bookmarkStart w:id="434" w:name="Tc_Iyg7rsOCiUO5igtV6wD5Xg_10_0"/>
      <w:bookmarkStart w:id="435" w:name="Tc_t3xBFoxbSkSubMrtVogSnA_9_0"/>
      <w:bookmarkStart w:id="436" w:name="Tc_9udK8MWMOU-LC7ipAsTOzA_8_0"/>
      <w:bookmarkStart w:id="437" w:name="Tc_XXSu9D6Z-UKFf_cAMaAEHQ_7_11"/>
      <w:bookmarkStart w:id="438" w:name="Tc_7DKzWwEPiEygpU9JHc20BA_7_8"/>
      <w:bookmarkStart w:id="439" w:name="Tc_RpZMdPyVtk-ZxL6MnmT30g_7_5"/>
      <w:bookmarkStart w:id="440" w:name="Tc_w_DBv5TWo0yyAUnpEUtQjg_7_2"/>
      <w:bookmarkStart w:id="441" w:name="Tc_M0HlGAoA10-iWri-eTCIkg_7_0"/>
      <w:bookmarkStart w:id="442" w:name="Tc_79LxcoKHlE2cosD9j99ysQ_6_0"/>
      <w:bookmarkStart w:id="443" w:name="Tc_BuaNvpohC0KKZ2tsYgcNPQ_5_0"/>
      <w:bookmarkStart w:id="444" w:name="Tc_gfmfe2nark6HReooxvSm-w_4_11"/>
      <w:bookmarkStart w:id="445" w:name="Tc_-2F5Og9sM0OFfFHVfXSU6g_4_8"/>
      <w:bookmarkStart w:id="446" w:name="Tc_01KC_Gu9VEaWs1s7yVM8Ww_4_5"/>
      <w:bookmarkStart w:id="447" w:name="Tc_KkSBXEaJfUqT12SgCK9uFA_4_2"/>
      <w:bookmarkStart w:id="448" w:name="Tc_m5QCL_yZy0uS6meoxBJ9tQ_3_11"/>
      <w:bookmarkStart w:id="449" w:name="Tc_Duyoroke80-ZCdNcZtAm0g_3_8"/>
      <w:bookmarkStart w:id="450" w:name="Tc_06uU6EiIFkOYwbovkAARgA_3_5"/>
      <w:bookmarkStart w:id="451" w:name="Tc_ptsx-BPea0WIb-jAVl8vTA_3_2"/>
      <w:bookmarkStart w:id="452" w:name="Tc_M1GpKptDUk2CLCCLJ96QHA_2_8"/>
      <w:bookmarkStart w:id="453" w:name="Tc_jyyrgbyEr0u_cuiSeFwRvQ_2_2"/>
      <w:bookmarkStart w:id="454" w:name="Tc_o5X5xUsQ-USiLwhiLVvzjQ_1_2"/>
      <w:bookmarkStart w:id="455" w:name="_0efb7fb1_c369_437d_addd_1b9250bfde7c"/>
      <w:bookmarkStart w:id="456" w:name="_de931247_886f_459f_aec8_2d1be35960b6"/>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rFonts w:ascii="Times New Roman;Times;serif" w:hAnsi="Times New Roman;Times;serif"/>
          <w:sz w:val="20"/>
        </w:rPr>
        <w:t>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accrued interest and penalties related to unrecognized tax benefits as income tax expense. There were no unrecognized tax benefits and no amounts accrued for interest and penalties as of March 31, 2023 and December 31, 2022. The Company is currently not aware of any issues under review that could result in significant payments, accruals or material deviation from its position.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Loss per Common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complies with accounting and disclosure requirements of FASB ASC Topic 260, “Earnings Per Share.” The Company has two classes of common stock, which are referred to as redeemable common stock and non-redeemable common stock. Income and losses are shared pro rata between the two classes of common stock. Net loss per common share is computed by dividing net loss by the weighted average number of shares of common stock outstanding for the period. Remeasurement associated with the redeemable shares of common stock is excluded from net loss per common share as the redemption value approximates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calculation of diluted loss per common share does not consider the effect of the warrants issued in connection with the (i) Initial Public Offering, and (ii) the private placement since the exercise of the warrants is contingent upon the occurrence of future events. The warrants are exercisable to purchase 5,980,750 shares of common stock in the aggregate. As of March 31, 2023 and 2022, the Company did not have any dilutive securities or other contracts that could, potentially, be exercised or converted into common stocks and then share in the earnings of the Company. As a result, diluted net loss per common share is the same as basic net loss per common share for the periods presented.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tables reflect the calculation of basic and diluted net loss per common share (in dollars, except per share amounts):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85"/>
        <w:gridCol w:w="326"/>
        <w:gridCol w:w="211"/>
        <w:gridCol w:w="931"/>
        <w:gridCol w:w="326"/>
        <w:gridCol w:w="238"/>
        <w:gridCol w:w="1053"/>
        <w:gridCol w:w="326"/>
        <w:gridCol w:w="211"/>
        <w:gridCol w:w="1036"/>
        <w:gridCol w:w="326"/>
        <w:gridCol w:w="237"/>
        <w:gridCol w:w="1099"/>
      </w:tblGrid>
      <w:tr>
        <w:trPr/>
        <w:tc>
          <w:tcPr>
            <w:tcW w:w="3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466975" cy="175260"/>
                      <wp:effectExtent l="0" t="0" r="0" b="0"/>
                      <wp:wrapNone/>
                      <wp:docPr id="56" name="Frame56"/>
                      <a:graphic xmlns:a="http://schemas.openxmlformats.org/drawingml/2006/main">
                        <a:graphicData uri="http://schemas.microsoft.com/office/word/2010/wordprocessingShape">
                          <wps:wsp>
                            <wps:cNvSpPr txBox="1"/>
                            <wps:spPr>
                              <a:xfrm>
                                <a:off x="0" y="0"/>
                                <a:ext cx="2466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8"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91185" cy="175260"/>
                      <wp:effectExtent l="0" t="0" r="0" b="0"/>
                      <wp:wrapNone/>
                      <wp:docPr id="59" name="Frame5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51130" cy="175260"/>
                      <wp:effectExtent l="0" t="0" r="0" b="0"/>
                      <wp:wrapNone/>
                      <wp:docPr id="61" name="Frame61"/>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68655" cy="175260"/>
                      <wp:effectExtent l="0" t="0" r="0" b="0"/>
                      <wp:wrapNone/>
                      <wp:docPr id="62" name="Frame62"/>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57860" cy="175260"/>
                      <wp:effectExtent l="0" t="0" r="0" b="0"/>
                      <wp:wrapNone/>
                      <wp:docPr id="65" name="Frame6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50495" cy="175260"/>
                      <wp:effectExtent l="0" t="0" r="0" b="0"/>
                      <wp:wrapNone/>
                      <wp:docPr id="67" name="Frame6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97865" cy="175260"/>
                      <wp:effectExtent l="0" t="0" r="0" b="0"/>
                      <wp:wrapNone/>
                      <wp:docPr id="68" name="Frame68"/>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99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w:t>
            </w:r>
          </w:p>
        </w:tc>
      </w:tr>
      <w:tr>
        <w:trPr/>
        <w:tc>
          <w:tcPr>
            <w:tcW w:w="38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29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8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Redeemable</w:t>
            </w:r>
          </w:p>
        </w:tc>
        <w:tc>
          <w:tcPr>
            <w:tcW w:w="326" w:type="dxa"/>
            <w:tcBorders/>
            <w:vAlign w:val="center"/>
          </w:tcPr>
          <w:p>
            <w:pPr>
              <w:pStyle w:val="TableContents"/>
              <w:bidi w:val="0"/>
              <w:spacing w:before="0" w:after="0"/>
              <w:ind w:left="0" w:right="0" w:hanging="0"/>
              <w:jc w:val="left"/>
              <w:rPr/>
            </w:pPr>
            <w:r>
              <w:rPr/>
              <w:t>​</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Non-redeemable</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Redeemable</w:t>
            </w:r>
          </w:p>
        </w:tc>
        <w:tc>
          <w:tcPr>
            <w:tcW w:w="326" w:type="dxa"/>
            <w:tcBorders/>
            <w:vAlign w:val="center"/>
          </w:tcPr>
          <w:p>
            <w:pPr>
              <w:pStyle w:val="TableContents"/>
              <w:bidi w:val="0"/>
              <w:spacing w:before="0" w:after="0"/>
              <w:ind w:left="0" w:right="0" w:hanging="0"/>
              <w:jc w:val="left"/>
              <w:rPr/>
            </w:pPr>
            <w:r>
              <w:rPr/>
              <w:t>​</w:t>
            </w:r>
          </w:p>
        </w:tc>
        <w:tc>
          <w:tcPr>
            <w:tcW w:w="133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Non-redeemable</w:t>
            </w:r>
          </w:p>
        </w:tc>
      </w:tr>
      <w:tr>
        <w:trPr/>
        <w:tc>
          <w:tcPr>
            <w:tcW w:w="38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    </w:t>
            </w:r>
          </w:p>
        </w:tc>
        <w:tc>
          <w:tcPr>
            <w:tcW w:w="13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r>
      <w:tr>
        <w:trPr/>
        <w:tc>
          <w:tcPr>
            <w:tcW w:w="3885" w:type="dxa"/>
            <w:tcBorders/>
            <w:shd w:fill="CCEEFF" w:val="clear"/>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Basic and diluted net loss per common share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8"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pPr>
            <w:r>
              <w:rPr/>
              <w:t>  </w:t>
            </w:r>
          </w:p>
        </w:tc>
      </w:tr>
      <w:tr>
        <w:trPr/>
        <w:tc>
          <w:tcPr>
            <w:tcW w:w="388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pPr>
            <w:r>
              <w:rPr/>
              <w:t>  </w:t>
            </w:r>
          </w:p>
        </w:tc>
      </w:tr>
      <w:tr>
        <w:trPr/>
        <w:tc>
          <w:tcPr>
            <w:tcW w:w="38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Allocation of 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(171,076)</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(94,275)</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(27,352)</w:t>
            </w:r>
          </w:p>
        </w:tc>
      </w:tr>
      <w:tr>
        <w:trPr/>
        <w:tc>
          <w:tcPr>
            <w:tcW w:w="388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pPr>
            <w:r>
              <w:rPr/>
              <w:t>  </w:t>
            </w:r>
          </w:p>
        </w:tc>
      </w:tr>
      <w:tr>
        <w:trPr/>
        <w:tc>
          <w:tcPr>
            <w:tcW w:w="38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2,378,249</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3,336,500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11,500,000</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3,336,500</w:t>
            </w:r>
          </w:p>
        </w:tc>
      </w:tr>
      <w:tr>
        <w:trPr/>
        <w:tc>
          <w:tcPr>
            <w:tcW w:w="388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loss per common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 of Credit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of cash accounts in a financial institution, which, at times may exceed the Federal Depository Insurance Corporation coverage limit of $250,000. The Company has not experienced losses on these accounts.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ROTH CH ACQUISITION IV CO.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the Company’s assets and liabilities, which qualify as financial instruments under ASC Topic 820, “Fair Value Measurement,” approximates the carrying amounts represented in the accompanying balance sheets, primarily due to their short-term nature.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Accounting Standards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2020, the Financial Accounting Standards Board (“FASB”) issued Accounting Standards Update (“ASU”) 2020-06, Debt — Debt with Conversion and Other Options (Subtopic 470-20) and Derivatives and Hedging — Contracts in Entity’s Own Equity (Subtopic 815-40) (“ASU 2020-06”) which simplifies accounting for convertible instruments by removing major separation models required under GAAP. ASU 2020-06 removes certain settlement conditions that are required for equity contracts to qualify for the derivative scope exception and it also simplifies the diluted earnings per share calculation in certain areas. ASU 2020-06 is effective for fiscal years beginning after December 15, 2023 including interim periods within those fiscal years, with early adoption permitted. The Company adopted ASU 2020-06 on January 1, 2021. The adoption of ASU 2020-06 did not have an impact on the Company’s condensed consolidated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 does not believe that any other recently issued, but not yet effective, accounting standards, if currently adopted, would have a material effect on the Company’s condensed consolidated financial statements.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INITIAL PUBLIC OFFERING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August 10, 2021, pursuant to the Initial Public Offering, the Company sold 11,500,000 Units, which included a full exercise by the underwriters of their over-allotment option in the amount of 1,500,000 Units, at a price of $10.00 per Unit. Each Unit consists of one share of common stock and </w:t>
      </w:r>
      <w:r>
        <w:rPr>
          <w:rFonts w:ascii="Times New Roman;Times;serif" w:hAnsi="Times New Roman;Times;serif"/>
          <w:b w:val="false"/>
          <w:i w:val="false"/>
          <w:caps w:val="false"/>
          <w:smallCaps w:val="false"/>
          <w:sz w:val="20"/>
        </w:rPr>
        <w:t>one</w:t>
      </w:r>
      <w:r>
        <w:rPr>
          <w:rFonts w:ascii="Times New Roman;Times;serif" w:hAnsi="Times New Roman;Times;serif"/>
          <w:sz w:val="20"/>
        </w:rPr>
        <w:t>-half of one redeemable warrant (“Public Warrant”). Each whole Public Warrant entitles the holder thereof to purchase one share of common stock at an exercise price of $11.50 per share, subject to adjustment (see Note 7).</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4. PRIVATE PLACEMENT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Simultaneously with the closing of the Initial Public Offering, certain of the Initial Stockholders purchased an aggregate of 461,500 Private Units at a price of $10.00 per Private Unit, for an aggregate purchase price of $4,615,000, in a private placement. Each Private Unit consists of one share of common stock (“Private Share”) and </w:t>
      </w:r>
      <w:r>
        <w:rPr>
          <w:rFonts w:ascii="Times New Roman;Times;serif" w:hAnsi="Times New Roman;Times;serif"/>
          <w:b w:val="false"/>
          <w:i w:val="false"/>
          <w:caps w:val="false"/>
          <w:smallCaps w:val="false"/>
          <w:sz w:val="20"/>
        </w:rPr>
        <w:t>one</w:t>
      </w:r>
      <w:r>
        <w:rPr>
          <w:rFonts w:ascii="Times New Roman;Times;serif" w:hAnsi="Times New Roman;Times;serif"/>
          <w:sz w:val="20"/>
        </w:rPr>
        <w:t>-half of one redeemable warrant (“Private Warrant”). Each whole Private Warrant entitles the holder thereof to purchase one share of common stock at a price of $11.50 per share, subject to adjustment (see Note 7). The proceeds from the Private Units were added to the proceeds from the Initial Public Offering held in the Trust Account. If the Company does not complete a Business Combination within the Combination Period, the proceeds from the sale of the Private Units will be used to fund the redemption of the Public Shares (subject to the requirements of applicable law).</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5. RELATED PARTY TRANSACTIONS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Founder Shares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February 2019, an Initial Stockholder purchased an aggregate of 100 shares of the Company’s common stock for an aggregate price of $25,000. On June 29, 2020, the Company effected a stock dividend of 43,125 shares of common stock for each share of common stock outstanding, resulting in an aggregate of 4,312,500 shares of common stock being outstanding. On July 1, 2021, certain of the Initial Stockholders sold an aggregate of 1,490,874 shares of common stock to the Company for an aggregate purchase price of $8,643, of which 1,437,500 shares were cancelled and the remaining 53,374 shares were purchased by certain of the Company’s officers from the Company for an aggregate purchase price of $464, resulting in an aggregate of 2,875,000 shares of common stock being outstanding (the “Founder Shares”). The Founder Shares included an aggregate of up to 375,000 shares subject to forfeiture by the Initial Stockholders to the extent that the underwriters’ over-allotment was not exercised in full or in part, so that the Initial Stockholders would collectively own approximately 20% of the Company’s issued and outstanding shares after the Initial Public Offering (assuming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ROTH CH ACQUISITION IV CO.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Initial Stockholders did not purchase any Public Shares in the Initial Public Offering and excluding the Private Shares). As a result of the underwriters’ election to fully exercise their over-allotment option, no Founder Shares are subject to forfeiture.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sale of the Founder Shares to certain of the Company’s officers, as described above, is within the scope of FASB ASC Topic 718, “Compensation-Stock Compensation” (“ASC 718”). Under ASC 718, stock-based compensation associated with equity-classified awards is measured at fair value upon the grant date. The fair value of the 53,374 shares sold to the Company’s officers was $323,446, or $6.06 per share. The Founder Shares were effectively sold subject to a performance condition (i.e., the occurrence of a Business Combination). Compensation expense related to the Founder Shares is recognized only when the performance condition is probable of occurrence. Stock-based compensation will be recognized at the date a Business Combination is considered probable in an amount equal to the number of Founder Shares times the grant date fair value per share (unless subsequently modified) less the amount initially received for the purchase of the Founder Shares. As of March 31, 2023, the Company determined that a Business Combination is not considered probable, and, therefore, no stock-based compensation expense has been recognized.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Initial Stockholders have agreed, subject to certain limited exceptions, not to transfer, assign or sell any of the Founder Shares until (1) with respect to 50% of the Founder Shares, the earlier of six months after the completion of a Business Combination and the date on which the closing price of the common stock equals or exceeds $12.50 per share (as adjusted for stock splits, stock dividends, reorganizations, recapitalizations and the like) for any 20 trading days within any 30-trading day period commencing after a Business Combination and (2) with respect to the remaining 50% of the Founder Shares, six months after the completion of a Business Combination, or earlier, in either case, if, subsequent to a Business Combination, the Company completes a liquidation, merger, stock exchange or other similar transaction which results in all of the Company’s stockholders having the right to exchange their shares of common stock for cash, securities or other property.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Promissory Notes — Related Party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3, 2021, the Company issued an unsecured promissory note to an Initial Stockholder (the “Promissory Note”), pursuant to which the Company could borrow up to an aggregate principal amount of $200,000. The Promissory Note was non-interest bearing and payable on the earlier of the consummation of the Initial Public Offering or the date on which the Company determined not to proceed with the Initial Public Offering. The outstanding balance under the Promissory Note of $200,000 was repaid at the closing of the Initial Public Offering on August 10, 2021. Borrowings under Promissory Note are no longer available.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14, 2023, the Company issued an unsecured promissory note in the aggregate principal amount of $200,000 (the “Note”) to CR Financial Holdings, Inc. (the “Payee”). Pursuant to the Note, the Payee agreed to loan to the Company an aggregate amount of $200,000 that shall be payable on the earlier of (i) the date on which the Company consummates a business combination with target businesses, or (ii) the date the Company liquidates if a business combination is not consummated. The Note bears no interest rate. In the event that the Company does not consummate a business combination, the Note will be repaid only from amounts remaining outside of the Company’s trust account, if any. The proceeds of the Note will be used for the Company to pay various expenses of the Company and for general corporate purposes. As of March 31, 2023 and December 31, 2022, the Company’s outstanding balance for the promissory note is $200,000 and $0,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Working Capital Loans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order to finance transaction costs in connection with a Business Combination, the Initial Stockholders and certain of the Company’s officers and directors (or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be repaid upon consummation of a Business Combination, without interest. No Working Capital Loans were outstanding as of March 31, 2023 and December 31,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ROTH CH ACQUISITION IV CO.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Underwriting Agreement and Business Combination Marketing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5, 2021, the Company entered into an underwriting agreement and a business combination marketing agreement with Roth Capital Partners, LLC (“Roth”) and Craig-Hallum Capital Group LLC (“Craig-Hallum”), the underwriters in the Initial Public Offering. The underwriters are related parties of the Company. On December 5, 2022, the Company entered a letter agreement to terminate the business combination marketing agreement. See Note 6 for a discussion of the business combination marketing agreement.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Due from Certain Initial Stockholders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16, 2022, the Company paid $135,440 to the Non-redeeming Stockholders on behalf of certain Initial Stockholders in connection with the Non-Redemption Agreements (see Note 6).</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6. COMMITMENTS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Registration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a registration rights agreement entered into on August 5, 2021, the holders of the Founder Shares, as well as the holders of the Private Units (and underlying securities), are entitled to registration rights.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Units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registration rights agreement does not contain liquidating damages or other cash settlement provisions resulting from delays in registering the Company’s securities. The Company will bear the expenses incurred in connection with the filing of any such registration statements. Notwithstanding the foregoing, the holders may not exercise demand or piggyback rights after five (5) and seven (7) years, respectively, from the effective date of the Initial Public Offering and may not exercise demand rights on more than one occasion in respect of all registrable securities.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Business Combination Marketing Agreement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a business combination marketing agreement entered into on August 5, 2021, the Company engaged Roth and Craig-Hallum, the underwriters in the Initial Public Offering, as advisors in connection with its Business Combination to assist in the transaction structuring and negotiation of a definitive purchase agreement with respect to the Business Combination, hold meetings with the stockholders to discuss the Business Combination and the target’s attributes, introduce the Company to potential investors to purchase its securities in connection with the Business Combination, assist in obtaining stockholder approval for the Business Combination, and assist with financial analysis, presentations, press releases and filings related to the Business Combination. The Company agreed to pay Roth and Craig-Hallum a fee for such services upon the consummation of a Business Combination in an amount equal to, in the aggregate, 4.5% of the gross proceeds of the Initial Public Offering, or $5,175,000. Roth and Craig-Hallum were not entitled to such fee unless the Company consummated a Business Combination.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Concurrently with the execution of the Merger Agreement on December 5, 2022, the Company entered into a letter agreement with Roth and Craig-Hallum to terminate the Business Combination Marketing Agreement (the “Letter Agreement”). Pursuant to the Letter Agreement, in exchange for services rendered in connection with the transactions contemplated in the Merger Agreement, Roth may be issued up to 300,000 Advisor Shares (shares of common stock, post-merger) equal to a fixed amount of 100,000 shares, regardless of the amount of equity raised in exchange for services rendered in connection with the transactions contemplated in the Merger Agreement, plus up to 200,000 shares based on the equity raised (“Variable Compensation Shares”). The number of Variable Compensation Shares will be equal to the product of (x) the quotient of equity raised divided by $50.0 million, multiplied by (y) 200,000. The Advisor Shares are issuable based on (a) the gross proceeds received from a capital raising transaction involving the equity securities of the Company and (b) the amount remaining in the Company’s trust account after giving effect to any redemptions (as further described in the Letter Agreement). On February 23, 2023, the Company entered into an amendment to the Letter Agreement. Pursuant to the amendment,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ROTH CH ACQUISITION IV CO.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term equity raised was revised to mean the gross proceeds available to the post-Business Combination company immediately after the closing of the Business Combination consisting of (a) the gross proceeds received from a capital raising transaction involving the equity securities or equity-linked instruments of Tigo Energy; provided, however, that the $50.0 million of proceeds from the sale of convertible promissory notes by Tigo Energy to L1 Energy Capital Management S.a.r.l. shall be excluded from the calculation of equity raised; (b) the gross proceeds received from a capital raising transaction involving the equity securities of the Company; and (c) the amount remaining in the Company’s trust account after giving effect to any redemptions.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Advisor Shares in the Letter Agreement is in the scope of FASB ASC Topic 718, “Compensation-Stock Compensation” (“ASC 718”). Under ASC 718, stock-based compensation associated with equity-classified awards is measured at fair value upon the grant date. The fair value of the up to 300,000 Advisor Shares that Roth may receive for services rendered is $10.20 per share, the value of the common stock of the Company at December 31, 2022. The Advisor Shares were effectively granted subject to a performance condition (i.e., the occurrence of a Business Combination). Compensation expense related to the Advisor Shares is recognized only when the performance condition is probable of occurrence. Stock-based compensation will be recognized at the date a Business Combination is considered probable in an amount equal to the number of Advisor Shares times the grant date fair value per share (unless subsequently modified). As of March 31, 2023 and December 31, 2022, the Company determined that a Business Combination is not considered probable, and, therefore, no stock-based compensation expense has been recognized.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Service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a service agreement entered on July 5, 2022, the Company engaged Roth and Craig-Hallum (together the “financial advisors”) to provide services in connection with a proposed financing by the Company in connection with a business combination. In connection with this agreement the Company may be required to pay fees in connection with their services to the extent that the financing is executed. If during the term of the agreement the Company completes a financing of equity securities, convertible securities or debt of the Company, the Company has agreed to pay the financial advisors a fee in the amount of 4.0% of the gross proceeds raised. Each advisor would receive 50% of any placement agent fee, which will be paid upon the closing of the offering and business combination.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term of the agreement will run until the earlier of the date that the Company completes any Business Combination and otherwise liquidates the funds held in the Trust account.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Merger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5, 2022, the Company, entered into the Merger Agreement with Merger Sub and Tigo Energy. The transactions set forth in the Merger Agreement, including the Merger, will constitute a “Business Combination” as contemplated by the Company’s Amended and Restated Certificate of Incorporation. Subject to the terms and conditions set forth in the Merger Agreement, Merger Sub will merge with and into Tigo Energy, with Tigo Energy surviving as a wholly owned subsidiary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Concurrently with the execution of the Merger Agreement, the Sponsors (as defined in the Sale and Purchase Agreement) entered into the Sale and Purchase Agreement with Tigo Energy, pursuant to which, immediately prior to the effective time of the Merger, the Sponsors will sell to Tigo Energy 1,645,000 shares of Common Stock and 424,000 Private Units in exchange for an amount equal to $2,300,000 pursuant to the Sale and Purchase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ROTH CH ACQUISITION IV CO.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Non-Redemption Agreements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8 and 9, 2022, the Company entered into Non-Redemption Agreements with various stockholders (the “Non-redeeming Stockholders”) owning, in the aggregate, 1,631,811 shares of the Company’s common stock, pursuant to which these stockholders committed not to redeem their shares in the Company in connection with the Extension Amendment. In consideration of such agreements, CR Financial Holdings, Inc. and CHLM Sponsor, certain of our Initial Stockholders, agreed to pay the Non-redeeming Stockholders that entered into such agreements $0.083 per share for the period from the stockholder approval of the Extension Amendment on December 20, 2022 through February 10, 2023 and subsequently $0.05 per share for each one-month extension in connection with such agreements. No additional funds were deposited into the Trust Account. On December 16, 2022, the Company paid $135,440 (the “Extension Payment”) to the Non-Redeeming Stockholders on behalf of such Initial Stockholders. On February 10, 2023 and March 10, 2023, Tigo Energy paid certain Initial Stockholders an aggregate amount of $163,181 (or $0.05 per share), according to the terms of the Non-Redemption Agreements in connection with the one-month Trust extension from February 10, 2023 to March 10, 2023 and in connection with the one-month Trust extension from March 10, 2023 to April 10, 2023. The value of the Extension Payments were determined to be the equivalent of an offering cost in accordance with Staff Accounting Bulletin Topic 5A. Accordingly, the offering costs would be allocated to the separable financial instruments on a relative fair value basis, compared to total proceeds received. The Company recorded a reduction in temporary equity for the Extension Payments of $163,182 and $135,440, as of March 31, 2023 and December 31, 2022, respectively. The Company also recorded a contribution to Additional Paid-in Capital of $163,181 and $135,440, as of March 31, 2023 and December 31, 2022, respectively. A receivable in Due from certain Initial Stockholders was recorded for the amount due from such initial stockholders of $135,440 as of December 31, 2022, in connection with the Extension Amendment. The amount due from certain Initial Stockholders was paid in full to the Company by Tigo Energy on March 1, 2023. All payments made by Tigo Energy to the Non-redeeming Stockholders on behalf of certain Initial Stockholders will be reduced from the $2,300,000 payment pursuant to the Sale and Purchase Agreement at the closing of the Business Combination.</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457" w:name="_f0625da9_0a86_487a_9f6c_b0b751176363_3"/>
      <w:bookmarkStart w:id="458" w:name="_f0625da9_0a86_487a_9f6c_b0b751176363_2"/>
      <w:bookmarkStart w:id="459" w:name="_f0625da9_0a86_487a_9f6c_b0b751176363"/>
      <w:bookmarkEnd w:id="457"/>
      <w:bookmarkEnd w:id="458"/>
      <w:bookmarkEnd w:id="459"/>
      <w:r>
        <w:rPr>
          <w:rFonts w:ascii="Times New Roman;Times;serif" w:hAnsi="Times New Roman;Times;serif"/>
          <w:b/>
          <w:sz w:val="20"/>
        </w:rPr>
        <w:t>NOTE 7. STOCKHOLDERS’ (DEFICIT) EQUITY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Common Stock</w:t>
      </w:r>
      <w:r>
        <w:rPr>
          <w:rFonts w:ascii="Times New Roman;Times;serif" w:hAnsi="Times New Roman;Times;serif"/>
          <w:sz w:val="20"/>
        </w:rPr>
        <w:t xml:space="preserve"> — The Company is authorized to issue 50,000,000 shares of common stock with a par value of $0.0001 per share. At March 31, 2023 and December 31, 2022, there were 3,336,500 shares of common stock issued and outstanding, respectively, excluding 2,378,249 shares of common stock subject to possible redemption which are presented as temporary equity. On December 20, 2022, in connection with the Extension Amendment, stockholders holding 9,121,751 shares of redeemable common stock exercised their right to redeem such shares for a pro rata portion of the funds in the Trust Account at a pro rata redemption price of approximately $10.24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Warrants</w:t>
      </w:r>
      <w:r>
        <w:rPr>
          <w:rFonts w:ascii="Times New Roman;Times;serif" w:hAnsi="Times New Roman;Times;serif"/>
          <w:sz w:val="20"/>
        </w:rPr>
        <w:t xml:space="preserve"> — As of March 31, 2023 and December 31, 2022, there were 5,750,000 Public Warrants and 230,750 Private Warrants outstanding.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will not issue fractional warrants. The Public Warrants will become exercisable 30 days after the completion of a Business Combination.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the registration statement of which the prospectus for the Company’s Initial Public Offering forms a part is not available and a new registration statement covering the shares of common stock issuable upon exercise of the Public Warrants is not effective within 120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The warrants will expire five years from the closing of a Business Combination.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may redeem the Public Warrants:</w:t>
      </w:r>
    </w:p>
    <w:tbl>
      <w:tblPr>
        <w:tblW w:w="2526" w:type="dxa"/>
        <w:jc w:val="left"/>
        <w:tblInd w:w="0" w:type="dxa"/>
        <w:tblLayout w:type="fixed"/>
        <w:tblCellMar>
          <w:top w:w="28" w:type="dxa"/>
          <w:left w:w="28" w:type="dxa"/>
          <w:bottom w:w="28" w:type="dxa"/>
          <w:right w:w="28" w:type="dxa"/>
        </w:tblCellMar>
      </w:tblPr>
      <w:tblGrid>
        <w:gridCol w:w="124"/>
        <w:gridCol w:w="256"/>
        <w:gridCol w:w="2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bl>
    <w:tbl>
      <w:tblPr>
        <w:tblW w:w="3006" w:type="dxa"/>
        <w:jc w:val="left"/>
        <w:tblInd w:w="0" w:type="dxa"/>
        <w:tblLayout w:type="fixed"/>
        <w:tblCellMar>
          <w:top w:w="28" w:type="dxa"/>
          <w:left w:w="28" w:type="dxa"/>
          <w:bottom w:w="28" w:type="dxa"/>
          <w:right w:w="28" w:type="dxa"/>
        </w:tblCellMar>
      </w:tblPr>
      <w:tblGrid>
        <w:gridCol w:w="124"/>
        <w:gridCol w:w="256"/>
        <w:gridCol w:w="2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2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at a price of $0.01</w:t>
            </w:r>
            <w:r>
              <w:rPr>
                <w:caps w:val="false"/>
                <w:smallCaps w:val="false"/>
              </w:rPr>
              <w:t xml:space="preserve"> </w:t>
            </w:r>
            <w:r>
              <w:rPr>
                <w:rFonts w:ascii="Times New Roman;Times;serif" w:hAnsi="Times New Roman;Times;serif"/>
                <w:b w:val="false"/>
                <w:i w:val="false"/>
                <w:caps w:val="false"/>
                <w:smallCaps w:val="false"/>
                <w:sz w:val="20"/>
              </w:rPr>
              <w:t>per warrant;</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the warrants become exercisable;</w:t>
            </w:r>
          </w:p>
        </w:tc>
      </w:tr>
    </w:tbl>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upon not less than 30 days</w:t>
            </w:r>
            <w:r>
              <w:rPr>
                <w:caps w:val="false"/>
                <w:smallCaps w:val="false"/>
              </w:rPr>
              <w:t xml:space="preserve">’ </w:t>
            </w:r>
            <w:r>
              <w:rPr>
                <w:rFonts w:ascii="Times New Roman;Times;serif" w:hAnsi="Times New Roman;Times;serif"/>
                <w:b w:val="false"/>
                <w:i w:val="false"/>
                <w:caps w:val="false"/>
                <w:smallCaps w:val="false"/>
                <w:sz w:val="20"/>
              </w:rPr>
              <w:t xml:space="preserve">prior written notice of redemption to each warrant holder;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ROTH CH ACQUISITION IV CO.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if, and only if, the reported last sale price of the shares of common stock equals or exceeds $18.00</w:t>
            </w:r>
            <w:r>
              <w:rPr>
                <w:caps w:val="false"/>
                <w:smallCaps w:val="false"/>
              </w:rPr>
              <w:t xml:space="preserve"> </w:t>
            </w:r>
            <w:r>
              <w:rPr>
                <w:rFonts w:ascii="Times New Roman;Times;serif" w:hAnsi="Times New Roman;Times;serif"/>
                <w:b w:val="false"/>
                <w:i w:val="false"/>
                <w:caps w:val="false"/>
                <w:smallCaps w:val="false"/>
                <w:sz w:val="20"/>
              </w:rPr>
              <w:t>per share, for any 20</w:t>
            </w:r>
            <w:r>
              <w:rPr>
                <w:caps w:val="false"/>
                <w:smallCaps w:val="false"/>
              </w:rPr>
              <w:t xml:space="preserve"> </w:t>
            </w:r>
            <w:r>
              <w:rPr>
                <w:rFonts w:ascii="Times New Roman;Times;serif" w:hAnsi="Times New Roman;Times;serif"/>
                <w:b w:val="false"/>
                <w:i w:val="false"/>
                <w:caps w:val="false"/>
                <w:smallCaps w:val="false"/>
                <w:sz w:val="20"/>
              </w:rPr>
              <w:t>trading days within a 30-day</w:t>
            </w:r>
            <w:r>
              <w:rPr>
                <w:caps w:val="false"/>
                <w:smallCaps w:val="false"/>
              </w:rPr>
              <w:t xml:space="preserve"> </w:t>
            </w:r>
            <w:r>
              <w:rPr>
                <w:rFonts w:ascii="Times New Roman;Times;serif" w:hAnsi="Times New Roman;Times;serif"/>
                <w:b w:val="false"/>
                <w:i w:val="false"/>
                <w:caps w:val="false"/>
                <w:smallCaps w:val="false"/>
                <w:sz w:val="20"/>
              </w:rPr>
              <w:t>trading period commencing after the warrants become exercisable and ending on the third business day prior to the notice of redemption to warrant holders;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Company calls the Public Warrants for redemption, management will have the option to require all holders that wish to exercise the Public Warrants to do so on a “cashless basis,” as described in the warrant agreement. The exercise price and number of shares of common stock issuable on exercise of the warrants may be adjusted in certain circumstances including in the event of a stock dividend, extraordinary dividend or recapitalization, reorganization, merger or consolidation. However, except as described below, the warrants will not be adjusted for issuances of shares of common stock at a price below their respective exercise prices.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if (x) the Company issues additional shares of common stock or equity-linked securities for capital raising purposes in connection with the closing of a Business Combination at an issue price or effective issue price of less than $9.20 per share of common stock (with such issue price or effective issue price to be determined in good faith by the Company’s board of directors),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Company’s common stock during the 20 trading day period starting on the trading day prior to the day on which the Company consummates Business Combination (such price, the “Market Value”) is below $9.20 per share, the exercise price of the warrants will be adjusted (to the nearest cent) to be equal to 115% of the Market Value and the $18.00 per share redemption trigger price described above will be adjusted (to the nearest cent) to be equal to 180% of the Market Price.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Except with respect to certain registration rights and transfer restrictions, the Private Warrants are identical to the Public Warrants underlying the Units sold in the Initial Public Offering.</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FAIR VALUE MEASUREMENTS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tbl>
      <w:tblPr>
        <w:tblW w:w="10205" w:type="dxa"/>
        <w:jc w:val="left"/>
        <w:tblInd w:w="0" w:type="dxa"/>
        <w:tblLayout w:type="fixed"/>
        <w:tblCellMar>
          <w:top w:w="0" w:type="dxa"/>
          <w:left w:w="0" w:type="dxa"/>
          <w:bottom w:w="0" w:type="dxa"/>
          <w:right w:w="0" w:type="dxa"/>
        </w:tblCellMar>
      </w:tblPr>
      <w:tblGrid>
        <w:gridCol w:w="124"/>
        <w:gridCol w:w="658"/>
        <w:gridCol w:w="9423"/>
      </w:tblGrid>
      <w:tr>
        <w:trPr/>
        <w:tc>
          <w:tcPr>
            <w:tcW w:w="12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Level 1:</w:t>
            </w:r>
          </w:p>
        </w:tc>
        <w:tc>
          <w:tcPr>
            <w:tcW w:w="942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tc>
      </w:tr>
    </w:tbl>
    <w:tbl>
      <w:tblPr>
        <w:tblW w:w="10205" w:type="dxa"/>
        <w:jc w:val="left"/>
        <w:tblInd w:w="0" w:type="dxa"/>
        <w:tblLayout w:type="fixed"/>
        <w:tblCellMar>
          <w:top w:w="0" w:type="dxa"/>
          <w:left w:w="0" w:type="dxa"/>
          <w:bottom w:w="0" w:type="dxa"/>
          <w:right w:w="0" w:type="dxa"/>
        </w:tblCellMar>
      </w:tblPr>
      <w:tblGrid>
        <w:gridCol w:w="124"/>
        <w:gridCol w:w="673"/>
        <w:gridCol w:w="9408"/>
      </w:tblGrid>
      <w:tr>
        <w:trPr/>
        <w:tc>
          <w:tcPr>
            <w:tcW w:w="12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Level 2:</w:t>
            </w:r>
          </w:p>
        </w:tc>
        <w:tc>
          <w:tcPr>
            <w:tcW w:w="940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Observable inputs other than Level 1 inputs. Examples of Level 2 inputs include quoted prices in active markets for similar assets or liabilities and quoted prices for identical assets or liabilities in markets that are not active.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ROTH CH ACQUISITION IV CO.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460" w:name="Tc_tv-dR3SocEOHBokcqrK15w_4_8"/>
      <w:bookmarkStart w:id="461" w:name="Tc_vyv2D8yaOUm7qsap0prjiw_4_5"/>
      <w:bookmarkStart w:id="462" w:name="Tc_OjwWFLCg_ku06HJB6CiQjA_4_3"/>
      <w:bookmarkStart w:id="463" w:name="Tc__XNgT0baYkakGBdThRefTA_4_0"/>
      <w:bookmarkStart w:id="464" w:name="Tc_CfKc-T5aJ0ias1JBVyo7BA_3_0"/>
      <w:bookmarkStart w:id="465" w:name="Tc_9AKi7CBdPUGR_es-cKF0Sw_2_8"/>
      <w:bookmarkStart w:id="466" w:name="Tc_zoCr9Bb5a0mEbdgUpUU_wg_2_5"/>
      <w:bookmarkStart w:id="467" w:name="Tc_xpgiCkelWkKAjofYK2QDLA_2_2"/>
      <w:bookmarkStart w:id="468" w:name="Tc_zbGQITvZJUSsBXd3L1lkzg_2_0"/>
      <w:bookmarkStart w:id="469" w:name="Tc_sIyxVCt8D0-G39Ig_vyAOQ_1_8"/>
      <w:bookmarkStart w:id="470" w:name="Tc_3-VK-f9H90-MeNNZHEicHg_1_5"/>
      <w:bookmarkStart w:id="471" w:name="Tc_tv-dR3SocEOHBokcqrK15w_4_8"/>
      <w:bookmarkStart w:id="472" w:name="Tc_vyv2D8yaOUm7qsap0prjiw_4_5"/>
      <w:bookmarkStart w:id="473" w:name="Tc_OjwWFLCg_ku06HJB6CiQjA_4_3"/>
      <w:bookmarkStart w:id="474" w:name="Tc__XNgT0baYkakGBdThRefTA_4_0"/>
      <w:bookmarkStart w:id="475" w:name="Tc_CfKc-T5aJ0ias1JBVyo7BA_3_0"/>
      <w:bookmarkStart w:id="476" w:name="Tc_9AKi7CBdPUGR_es-cKF0Sw_2_8"/>
      <w:bookmarkStart w:id="477" w:name="Tc_zoCr9Bb5a0mEbdgUpUU_wg_2_5"/>
      <w:bookmarkStart w:id="478" w:name="Tc_xpgiCkelWkKAjofYK2QDLA_2_2"/>
      <w:bookmarkStart w:id="479" w:name="Tc_zbGQITvZJUSsBXd3L1lkzg_2_0"/>
      <w:bookmarkStart w:id="480" w:name="Tc_sIyxVCt8D0-G39Ig_vyAOQ_1_8"/>
      <w:bookmarkStart w:id="481" w:name="Tc_3-VK-f9H90-MeNNZHEicHg_1_5"/>
      <w:bookmarkEnd w:id="471"/>
      <w:bookmarkEnd w:id="472"/>
      <w:bookmarkEnd w:id="473"/>
      <w:bookmarkEnd w:id="474"/>
      <w:bookmarkEnd w:id="475"/>
      <w:bookmarkEnd w:id="476"/>
      <w:bookmarkEnd w:id="477"/>
      <w:bookmarkEnd w:id="478"/>
      <w:bookmarkEnd w:id="479"/>
      <w:bookmarkEnd w:id="480"/>
      <w:bookmarkEnd w:id="481"/>
    </w:p>
    <w:tbl>
      <w:tblPr>
        <w:tblW w:w="10205" w:type="dxa"/>
        <w:jc w:val="left"/>
        <w:tblInd w:w="0" w:type="dxa"/>
        <w:tblLayout w:type="fixed"/>
        <w:tblCellMar>
          <w:top w:w="0" w:type="dxa"/>
          <w:left w:w="0" w:type="dxa"/>
          <w:bottom w:w="0" w:type="dxa"/>
          <w:right w:w="0" w:type="dxa"/>
        </w:tblCellMar>
      </w:tblPr>
      <w:tblGrid>
        <w:gridCol w:w="124"/>
        <w:gridCol w:w="749"/>
        <w:gridCol w:w="9332"/>
      </w:tblGrid>
      <w:tr>
        <w:trPr/>
        <w:tc>
          <w:tcPr>
            <w:tcW w:w="12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Level 3:</w:t>
            </w:r>
          </w:p>
        </w:tc>
        <w:tc>
          <w:tcPr>
            <w:tcW w:w="933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Unobservable inputs based on our assessment of the assumptions that market participants would use in pricing the asset or liability.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information about the Company’s assets that are measured at fair value on a recurring basis at March 31, 2023 and December 31, 2022 and indicates the fair value hierarchy of the valuation inputs the Company utilized to determine such fair value:</w:t>
      </w:r>
    </w:p>
    <w:p>
      <w:pPr>
        <w:pStyle w:val="TextBody"/>
        <w:bidi w:val="0"/>
        <w:spacing w:before="0" w:after="0"/>
        <w:ind w:left="0" w:right="0" w:hanging="0"/>
        <w:jc w:val="left"/>
        <w:rPr/>
      </w:pPr>
      <w:r>
        <w:rPr/>
        <w:t>​</w:t>
      </w:r>
    </w:p>
    <w:tbl>
      <w:tblPr>
        <w:tblW w:w="8544" w:type="dxa"/>
        <w:jc w:val="left"/>
        <w:tblInd w:w="0" w:type="dxa"/>
        <w:tblLayout w:type="fixed"/>
        <w:tblCellMar>
          <w:top w:w="0" w:type="dxa"/>
          <w:left w:w="0" w:type="dxa"/>
          <w:bottom w:w="0" w:type="dxa"/>
          <w:right w:w="0" w:type="dxa"/>
        </w:tblCellMar>
      </w:tblPr>
      <w:tblGrid>
        <w:gridCol w:w="4471"/>
        <w:gridCol w:w="326"/>
        <w:gridCol w:w="168"/>
        <w:gridCol w:w="328"/>
        <w:gridCol w:w="326"/>
        <w:gridCol w:w="211"/>
        <w:gridCol w:w="1036"/>
        <w:gridCol w:w="326"/>
        <w:gridCol w:w="211"/>
        <w:gridCol w:w="1141"/>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839085" cy="175260"/>
                      <wp:effectExtent l="0" t="0" r="0" b="0"/>
                      <wp:wrapNone/>
                      <wp:docPr id="69" name="Frame69"/>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06680" cy="175260"/>
                      <wp:effectExtent l="0" t="0" r="0" b="0"/>
                      <wp:wrapNone/>
                      <wp:docPr id="71" name="Frame71"/>
                      <a:graphic xmlns:a="http://schemas.openxmlformats.org/drawingml/2006/main">
                        <a:graphicData uri="http://schemas.microsoft.com/office/word/2010/wordprocessingShape">
                          <wps:wsp>
                            <wps:cNvSpPr txBox="1"/>
                            <wps:spPr>
                              <a:xfrm>
                                <a:off x="0" y="0"/>
                                <a:ext cx="106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8280" cy="175260"/>
                      <wp:effectExtent l="0" t="0" r="0" b="0"/>
                      <wp:wrapNone/>
                      <wp:docPr id="72" name="Frame72"/>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57860" cy="175260"/>
                      <wp:effectExtent l="0" t="0" r="0" b="0"/>
                      <wp:wrapNone/>
                      <wp:docPr id="75" name="Frame7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724535" cy="175260"/>
                      <wp:effectExtent l="0" t="0" r="0" b="0"/>
                      <wp:wrapNone/>
                      <wp:docPr id="78" name="Frame7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8" w:type="dxa"/>
            <w:tcBorders/>
            <w:vAlign w:val="center"/>
          </w:tcPr>
          <w:p>
            <w:pPr>
              <w:pStyle w:val="TableContents"/>
              <w:bidi w:val="0"/>
              <w:spacing w:before="0" w:after="1"/>
              <w:ind w:left="0" w:right="0" w:hanging="0"/>
              <w:jc w:val="center"/>
              <w:rPr/>
            </w:pPr>
            <w:r>
              <w:rPr/>
              <w:t>​</w:t>
            </w:r>
          </w:p>
        </w:tc>
        <w:tc>
          <w:tcPr>
            <w:tcW w:w="32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center"/>
              <w:rPr/>
            </w:pPr>
            <w:r>
              <w:rPr/>
              <w:t>​</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4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vAlign w:val="center"/>
          </w:tcPr>
          <w:p>
            <w:pPr>
              <w:pStyle w:val="TableContents"/>
              <w:bidi w:val="0"/>
              <w:spacing w:before="0" w:after="1"/>
              <w:ind w:left="0" w:right="0" w:hanging="0"/>
              <w:jc w:val="center"/>
              <w:rPr/>
            </w:pPr>
            <w:r>
              <w:rPr/>
              <w:t>    </w:t>
            </w:r>
          </w:p>
        </w:tc>
        <w:tc>
          <w:tcPr>
            <w:tcW w:w="4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1"/>
              <w:ind w:left="0" w:right="0" w:hanging="0"/>
              <w:jc w:val="center"/>
              <w:rPr/>
            </w:pPr>
            <w:r>
              <w:rPr/>
              <w:t>​</w:t>
            </w:r>
          </w:p>
        </w:tc>
        <w:tc>
          <w:tcPr>
            <w:tcW w:w="168" w:type="dxa"/>
            <w:tcBorders/>
            <w:shd w:fill="CCEEFF" w:val="clear"/>
            <w:vAlign w:val="center"/>
          </w:tcPr>
          <w:p>
            <w:pPr>
              <w:pStyle w:val="TableContents"/>
              <w:bidi w:val="0"/>
              <w:spacing w:before="0" w:after="1"/>
              <w:ind w:left="0" w:right="0" w:hanging="0"/>
              <w:jc w:val="center"/>
              <w:rPr/>
            </w:pPr>
            <w:r>
              <w:rPr/>
              <w:t>​</w:t>
            </w:r>
          </w:p>
        </w:tc>
        <w:tc>
          <w:tcPr>
            <w:tcW w:w="328"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141" w:type="dxa"/>
            <w:tcBorders/>
            <w:shd w:fill="CCEEFF" w:val="clear"/>
            <w:vAlign w:val="center"/>
          </w:tcPr>
          <w:p>
            <w:pPr>
              <w:pStyle w:val="TableContents"/>
              <w:bidi w:val="0"/>
              <w:spacing w:before="0" w:after="1"/>
              <w:ind w:left="0" w:right="0" w:hanging="0"/>
              <w:jc w:val="center"/>
              <w:rPr/>
            </w:pPr>
            <w:r>
              <w:rPr/>
              <w:t>​</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Marketable securities held in Trust Account</w:t>
            </w:r>
          </w:p>
        </w:tc>
        <w:tc>
          <w:tcPr>
            <w:tcW w:w="326" w:type="dxa"/>
            <w:tcBorders/>
            <w:vAlign w:val="center"/>
          </w:tcPr>
          <w:p>
            <w:pPr>
              <w:pStyle w:val="TableContents"/>
              <w:bidi w:val="0"/>
              <w:spacing w:before="0" w:after="1"/>
              <w:ind w:left="0" w:right="0" w:hanging="0"/>
              <w:jc w:val="left"/>
              <w:rPr/>
            </w:pPr>
            <w:r>
              <w:rPr/>
              <w:t> </w:t>
            </w:r>
          </w:p>
        </w:tc>
        <w:tc>
          <w:tcPr>
            <w:tcW w:w="168"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24,678,170</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24,601,832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9. SUBSEQUENT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evaluated subsequent events and transactions that occurred after the balance sheet date up to the date that the condensed consolidated financial statements were issued. Based upon this review, other than as described below, the Company did not identify any subsequent events that would have required adjustment or disclosure in the condensed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10, 2023 and May 10, 2023, Tigo Energy paid certain Initial Stockholders an aggregate amount of $163,181 (or $0.05 per share), according to the terms of the Non-Redemption Agreements in connection with the one-month Trust extensions from April 10, 2023 to May 10, 2023 and from May 10, 2023 to June 10, 2023.</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82" w:name="Item2ManagementsDiscussionandAnalysisofF"/>
      <w:bookmarkStart w:id="483" w:name="_767aff83_11ae_4fff_b866_21028e3a7371"/>
      <w:bookmarkEnd w:id="482"/>
      <w:bookmarkEnd w:id="483"/>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References in this report (this “Quarterly Report”) to “we,” “us” or the “Company” refer to Roth CH Acquisition IV Co. References to our “management” or our “management team” refer to our officers and directors.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Special Note Regarding 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includes “forward-looking statements” within the meaning of Section 27A of the Securities Act of 1933, as amended (the “Securities Act”), and Section 21E of the Securities Exchange Act of 1934, as amended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search for an initial business combination,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for the year ended December 31, 2022 and the Company’s final prospectus for its initial public offering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blank check company incorporated in Delaware on February 13, 2019. We were formed for the purpose of entering into a merger, share exchange, asset acquisition, stock purchase, recapitalization, reorganization or other similar business combination with one or more businesses or entities, which we refer to herein as our “Business Combination.” We intend to effectuate our Business Combination using cash derived from the proceeds of the Initial Public Offering (as defined below) and the sale of the Private Units (as defined below), our capital stock, debt or a combination of cash, stock and debt.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issuance of additional shares of our stock in a Business Combination:</w:t>
      </w:r>
    </w:p>
    <w:tbl>
      <w:tblPr>
        <w:tblW w:w="5721" w:type="dxa"/>
        <w:jc w:val="left"/>
        <w:tblInd w:w="0" w:type="dxa"/>
        <w:tblLayout w:type="fixed"/>
        <w:tblCellMar>
          <w:top w:w="28" w:type="dxa"/>
          <w:left w:w="28" w:type="dxa"/>
          <w:bottom w:w="28" w:type="dxa"/>
          <w:right w:w="28" w:type="dxa"/>
        </w:tblCellMar>
      </w:tblPr>
      <w:tblGrid>
        <w:gridCol w:w="124"/>
        <w:gridCol w:w="256"/>
        <w:gridCol w:w="5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significantly reduce the equity interest of our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subordinate the rights of holders of common stock if we issue preferred shares with rights senior to those afforded to our shares of common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tc>
      </w:tr>
    </w:tbl>
    <w:tbl>
      <w:tblPr>
        <w:tblW w:w="5211" w:type="dxa"/>
        <w:jc w:val="left"/>
        <w:tblInd w:w="0" w:type="dxa"/>
        <w:tblLayout w:type="fixed"/>
        <w:tblCellMar>
          <w:top w:w="28" w:type="dxa"/>
          <w:left w:w="28" w:type="dxa"/>
          <w:bottom w:w="28" w:type="dxa"/>
          <w:right w:w="28" w:type="dxa"/>
        </w:tblCellMar>
      </w:tblPr>
      <w:tblGrid>
        <w:gridCol w:w="124"/>
        <w:gridCol w:w="256"/>
        <w:gridCol w:w="4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may adversely affec</w:t>
            </w:r>
            <w:r>
              <w:rPr>
                <w:rFonts w:ascii="Times New Roman;Times;serif" w:hAnsi="Times New Roman;Times;serif"/>
                <w:b w:val="false"/>
                <w:i w:val="false"/>
                <w:caps w:val="false"/>
                <w:smallCaps w:val="false"/>
                <w:sz w:val="18"/>
              </w:rPr>
              <w:t>t prevailing market prices for our securities.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Similarly, if we issue debt securities or otherwise incur significant indebtedness, it could result in: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 and foreclosure on our assets if our operating revenues after a business combination are insufficient to pay our debt obligations;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tc>
      </w:tr>
    </w:tbl>
    <w:tbl>
      <w:tblPr>
        <w:tblW w:w="9741" w:type="dxa"/>
        <w:jc w:val="left"/>
        <w:tblInd w:w="0" w:type="dxa"/>
        <w:tblLayout w:type="fixed"/>
        <w:tblCellMar>
          <w:top w:w="28" w:type="dxa"/>
          <w:left w:w="28" w:type="dxa"/>
          <w:bottom w:w="28" w:type="dxa"/>
          <w:right w:w="28" w:type="dxa"/>
        </w:tblCellMar>
      </w:tblPr>
      <w:tblGrid>
        <w:gridCol w:w="124"/>
        <w:gridCol w:w="256"/>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immediate payment of all principal and accrued interest, if any, if the debt security is payable on demand;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obtain additional financing, if necessary, if the debt security contains covenants restricting our ability to obtain additional financing while such security is outstanding.</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to continue to incur significant costs in the pursuit of our acquisition plans. We cannot assure you that our plans to complete a Business Combination will be successful.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Merger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5, 2022, we entered into an Agreement and Plan of Merger (as it may be amended, supplemented or otherwise modified from time to time, the “Merger Agreement”) with Roth IV Merger Sub Inc., a Delaware corporation and a wholly-owned subsidiary of the Company (“Merger Sub”), and Tigo Energy, Inc., a Delaware corporation (the “Tigo Energy”). The transactions set forth in the Merger Agreement, including the Merger (defined below), will constitute a “Business Combination” as contemplated by the Company’s Amended and Restated Certificate of Incorporation.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Subject to the terms and conditions set forth in the Merger Agreement, Merger Sub will merge with and into Tigo Energy, with Tigo Energy surviving as a wholly-owned subsidiary of the Company (the “Merger”). Upon the closing and the other transactions contemplated by the Merger Agreement, the Company will change its name to “Tigo Energy, Inc.”</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Consideration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Subject to the terms and conditions set forth in the Merger Agreement, in consideration of the Merger, the base purchase price of $600,000,000 will be payable through converting each outstanding share of Tigo Energy’s common stock (after giving effect to the consummation of Tigo Energy’s warrant exercise and Tigo Energy’s preferred conversion) into the right to receive 60,000,000 shares of the Company’s common stock at a deemed price of ten dollars ($10.00) per share, equal to (a) the exchange ratio, multiplied by (b) the number of shares of Tigo Energy’s common stock held by such holder as of immediately prior to the effective time of the Merger, with fractional shares rounded down to the nearest whole share. In addition, at the closing, each outstanding Tigo Energy’s option will be assumed and converted into an option with respect to a number of shares of the Company’s common stock in the manner set forth in the Merger Agreement, and each outstanding Tigo Energy’s warrant (after giving effect to Tigo Energy’s warrant exercise) to purchase Tigo Energy’s common stock will be assumed and converted into a warrant with respect to a number of shares of the Company’s common stock in the manner set forth in the Merger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base purchase price is subject to a dollar-for-dollar upward or downward adjustment in the event Tigo Energy raises or obtains a commitment to raise capital prior to the closing, including capital raised through the conversion of debt securities (but specifically excluding capital raised through convertible notes or similar debt instruments convertible into or exercisable for capital stock or other equity securities of Tigo Energy to the extent such notes or similar debt instruments have not so converted). If Tigo Energy raises or obtains a commitment to raise capital based on a pre-money valuation at or exceeding $500,000,000, the base purchase price will increase by the aggregate amount of capital raised or committed to be raised by Tigo Energy through such capital raising transaction. Conversely, if the pre-money valuation is below $500,000,000, the base purchase price will decrease by an amount equal to the difference between $500,000,000 and the actual pre-money valuation.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Trust Extension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20, 2022, we held a special meeting of stockholders, at which the Company’s stockholders approved an amendment (the “Extension Amendment”) to the Company’s amended and restated certificate of incorporation, to extend the date by which the Company has to consummate a business combination up to five (5) times, each such extension for an additional one (1) month period, from February 10, 2023 to July 10, 2023. In connection with the Extension Amendment, stockholders holding 9,121,751 shares of redeemable common stock exercised their right to redeem such shares for a pro rata portion of the funds in the Trust Account (as defined below) at a pro rata redemption price of approximately $10.24 per share.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neither engaged in any operations nor generated any revenues to date. Our only activities through March 31, 2023 were organizational activities, those necessary to prepare for the Initial Public Offering, which is described below, and subsequent to the Initial Public Offering, identifying a target company for a Business Combination. We do not expect to generate any operating revenues until after the completion of our Business Combination, at the earliest. We generate non-operating income in the form of interest income on marketable securities held in the Trust Account (as defined below). We incur expenses as a result of being a public company (for legal, financial reporting, accounting and auditing compliance), as well as for due diligence expenses in connection with searching for, and completing, a Business Combination.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March 31, 2023, we had a net loss of $411,082, which was comprised of formation and operating costs of $593,776 and provision for income taxes of $62,507, offset by the interest earned on marketable securities held in Trust Account of $245,201.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March 31, 2022, we had a net loss of $121,627, which was comprised of operational costs of $155,407, offset by unrealized gain on marketable securities held in Trust Account of $4,277 and interest earned on marketable securities held in Trust Account of $29,503.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10, 2021, we completed our initial public offering (the “Initial Public Offering”) of 11,500,000 units (the “Units” and, with respect to the shares of common stock included in the Units sold, the “Public Shares”), which included the full exercise by the underwriters of their over-allotment option in the amount of 1,500,000 Units, at $10.00 per Unit, generating gross proceeds of $115,000,000. Simultaneously with the closing of the Initial Public Offering, we completed the sale of 461,500 units (the “Private Units”) at a price of $10.00 per Private Unit in a private placement to certain of the holders of the Company’s shares prior to the Initial Public Offering (the “Initial Stockholders”), generating gross proceeds of $4,615,000.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Following the Initial Public Offering, including the full exercise of the over-allotment option by the underwriters, and the sale of the Private Units, a total of $116,725,000 was placed in a trust account located in the United States (the “Trust Account”). We incurred $1,646,673 of transaction costs, consisting of $1,150,000 of underwriting fees and $496,673 of other offering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March 31, 2023, cash used in operating activities was $621,327. Net loss of $411,082 was affected by interest earned on marketable securities held in Trust Account of $245,201. Changes in operating assets and liabilities provided $34,956 of cash for 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March 31, 2022, cash used in operating activities was $269,585. Net loss of $121,627 was affected by unrealized loss on marketable securities held in Trust Account of $4,277 and an interest earned on marketable securities held in Trust Account of $29,503. Changes in operating assets and liabilities used $114,178 of cash for 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2023, we had cash held in the Trust Account of $24,601,832 (including approximately $462,605 of interest income). Interest income on the balance in the Trust Account may be used by us to pay taxes. Through March 31, 2023, we have withdrawn $608,149 from the Trust Account to pay franchise and income taxes. We intend to use substantially all of the funds held in the Trust Account, including any amounts representing interest earned on the Trust Account (less income taxes payable), to complete our Business Combination. To the extent that our capital stock or debt is used, in whole or in part, as consideration to complete our Business Combination, the remaining proceeds held in the Trust Account will be used as working capital to finance the operations of the target business or businesses, make other acquisitions and pursue our growth strategies.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2023, we had cash of $123,759.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order to finance transaction costs in connection with a Business Combination, the Initial Stockholders and certain of our officers and directors (or their affiliates) may, but are not obligated to, loan us funds as may be required (“Working Capital Loans”). If we complete a Business Combination, we would repay the Working Capital Loans out of the proceeds of the Trust Account released to us. Otherwise, the Working Capital Loans would be repaid only out of funds held outside the Trust Account. In the event that a Business Combination does not close, we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be repaid upon consummation of a Business Combination, without interest.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our estimate of the costs of undertaking in-depth due diligence and negotiating a Business Combination are less than the actual amount necessary to do so, we may have insufficient funds available to operate our business prior to our initial Business Combination. 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will need to raise additional capital through loans or additional investments from the Initial Stockholders and our officers and directors or their affiliates. The Initial Stockholders and our officers and directors or their affiliates may, but are not obligated to, loan us funds, from time to time or at any time, in whatever amount they deem reasonable in their sole discretion, to meet our working capital needs. Accordingly, we may not be able to obtain additional financing. If we are unable to raise additional capital, we may be required to take additional measures to conserve liquidity, which could include, but not necessarily be limited to, curtailing operations, suspending the pursuit of a potential transaction, and reducing overhead expenses. We cannot provide any assurance that new financing will be available to us on commercially acceptable terms, if at all.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Company’s assessment of going concern considerations in accordance with the Financial Accounting Standards Board’s (“FASB’s”) Accounting Standards Update (“ASU”) 2014-15, “Disclosures of Uncertainties about an Entity’s Ability to Continue as a Going Concern,” the Company has until July 10, 2023, to consummate a Business Combination. It is uncertain that the Company will be able to consummate a Business Combination by this time. If a Business Combination is not consummated by this date and an extension has not been approved by the Company’s stockholders and effected by the Company, there will be a mandatory liquidation and subsequent dissolution of the Company. Management has determined that the liquidity condition and the date for mandatory liquidation and subsequent dissolution raises substantial doubt about the Company’s ability to continue as a going concern. No adjustments have been made to the carrying amounts of assets or liabilities should the Company be required to liquidate after July 10, 2023. The Company intends to complete a Business Combination before the mandatory liquidation date. The Company is within 12 months of its mandatory liquidation date as of the time of filing this Quarterly Report on Form 10-Q.</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Financing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had no obligations, assets or liabilities, which would be considered off-balance sheet arrangements as of December 31, 2022.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have any long-term debt, capital lease obligations, operating lease obligations or long-term liabilities, other than as described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a business combination marketing agreement entered into on August 5, 2021, we engaged Roth Capital Partners, LLC (“Roth”) and Craig-Hallum Capital Group LLC (“Craig-Hallum”), the underwriters in the Initial Public Offering, as advisors in connection with our Business Combination to assist us in the transaction structuring and negotiation of a definitive purchase agreement with respect to the Business Combination, hold meetings with our stockholders to discuss the Business Combination and the target’s attributes, introduce us to potential investors to purchase our securities in connection with the Business Combination, assist us in obtaining stockholder approval for the Business Combination, and assist us with financial analysis, presentations, press releases and filings related to the Business Combination. We agreed to pay Roth and Craig-Hallum a fee for such services upon the consummation of a Business Combination in an amount equal to, in the aggregate, 4.5% of the gross proceeds of the Initial Public Offering, or $5,175,000. Roth and Craig-Hallum were not entitled to such fee unless we consummated a Business Combination. Concurrently with the execution of the Merger Agreement on December 5, 2022, we entered into a letter agreement with Roth and Craig-Hallum to terminate the certain Business Combination Marketing Agreement (the “Letter Agreement”). Pursuant to the Letter Agreement, in exchange for services rendered in connection with the transactions contemplated in the Merger Agreement, Roth may be issued up to 300,000 Advisor Shares (shares of common stock, post-merger) equal to a fixed amount of 100,000 shares, regardless of the amount of equity raised in exchange for services rendered in connection with the transactions contemplated in the Merger Agreement, plus up to 200,000 shares based on the equity raised (“Variable Compensation Shares”). The number of Variable Compensation Shares will be equal to the product of (x) the quotient of equity raised divided by $50.0 million, multiplied by (y) 200,000. The Advisor Shares are issuable based on (a) the gross proceeds received from a capital raising transaction involving the equity securities of the Company and (b) the amount remaining in the Company’s trust account after giving effect to any redemptions (as further described in the Letter Agreement). On February 23, 2023, we entered into an amendment to the Letter Agreement. Pursuant to the amendment, the agreement was revised so that the term equity raised means the gross proceeds available to the post-Business Combination company immediately after the closing of the Business Combination consisting of (a) the gross proceeds received from a capital raising transaction involving the equity securities or equity-linked instruments of Tigo Energy; provided, however, that the $50.0 million of proceeds from the sale of convertible promissory notes by Tigo Energy to L1 Energy Capital Management S.a.r.l. shall be excluded from the calculation of equity raised; (b) the gross proceeds received from a capital raising transaction involving the equity securities of the Company; and (c) the amount remaining in the Company’s trust account after giving effect to any redemptions.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Pursuant to a service agreement entered on July 5, 2022, we engaged Roth and Craig-Hallum (together, the “financial advisors”) to provide services in connection with a proposed financing by the Company in connection with a business combination. In connection with this agreement the Company may be required to pay fees in connection with their services to the extent that the financing is executed. If during the term of the agreement the Company completes a financing of equity securities, convertible securities or debt of the Company, the Company has agreed to pay the financial advisors a fee in the amount of 4.0% of the gross proceeds raised. Each advisor would receive 50% of any placement agent fee, which will be paid upon the closing of the offering and business combination.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term of the agreement will run until the earlier of the date that the Company completes any Business Combination and otherwise liquidates the funds held in the Trust Account.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5, 2022, we entered into the Merger Agreement with Merger Sub and Tigo Energy. The transactions set forth in the Merger Agreement, including the Merger, will constitute a “Business Combination” as contemplated by the Company’s Amended and Restated Certificate of Incorporation. Subject to the terms and conditions set forth in the Merger Agreement, Merger Sub will merge with and into Tigo Energy, with Tigo Energy surviving as a wholly owned subsidiary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Subject to the terms and conditions set forth in the Merger Agreement, in consideration of the Merger, the base purchase price of $600,000,000 will be payable through converting each outstanding share of Tigo Energy’s common stock (after giving effect to the consummation of Tigo Energy’s warrant exercise and Tigo Energy’s preferred conversion) into the right to receive 60,000,000 shares of the Company’s common stock at a deemed price of ten dollars ($10.00) per share, equal to (a) the exchange ratio, multiplied by (b) the number of shares of Tigo Energy’s common stock held by such holder as of immediately prior to the effective time of the Merger, with fractional shares rounded down to the nearest whole share. In addition, at the closing, each outstanding Tigo Energy’s option will be assumed and converted into an option with respect to a number of shares of the Company’s common stock in the manner set forth in the Merger Agreement, and each outstanding Tigo Energy’s warrant (after giving effect to Tigo Energy’s warrant exercise) to purchase Tigo Energy’s common stock will be assumed and converted into a warrant with respect to a number of shares of the Company’s common stock in the manner set forth in the Merger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base purchase price is subject to a dollar-for-dollar upward or downward adjustment in the event Tigo Energy raises or obtains a commitment to raise capital prior to the closing, including capital raised through the conversion of debt securities (but specifically excluding capital raised through convertible notes or similar debt instruments convertible into or exercisable for capital stock or other equity securities of Tigo Energy to the extent such notes or similar debt instruments have not so converted). If Tigo Energy raises or obtains a commitment to raise capital based on a pre-money valuation at or exceeding $500,000,000, the base purchase price will increase by the aggregate amount of capital raised or committed to be raised by Tigo Energy through such capital raising transaction. Conversely, if the pre-money valuation is below $500,000,000, the base purchase price will decrease by an amount equal to the difference between $500,000,000 and the actual pre-money valuation.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December 8 and 9, 2022, we entered into non-redemption agreements with certain stockholders (the “Non-redeeming Stockholders”) owning, in the aggregate, 1,631,811 shares of the Company’s common stock, in which such stockholders agreed, among other things, not to redeem or exercise any right to redeem such public shares in connection with the Extension Amendment. Certain Initial Stockholders agreed to pay the Non-redeeming Stockholders that entered into such agreements $0.083 per share for the period from the stockholder approval of the Extension Amendment on December 20, 2022 through February 10, 2023 and subsequently $0.05 per share for each one-month extension in connection with such agreements. No additional funds were deposited into the Trust Account. On December 16, 2022, we paid the initial payment of $135,440 to the Non-redeeming Stockholders on behalf of such Initial Stockholders. On March 1, 2023, Tigo Energy repaid the amount in full. On February 10, 2023 and March 10, 2023, Tigo Energy paid certain Initial Stockholders an aggregate amount of $163,181 (or $0.05 per share), according to the terms of the Non-Redemption Agreements in connection with the one-month Trust extension from February 10, 2023 to March 10, 2023 and in connection with the one-month Trust extension from March 10, 2023 to April 10, 2023.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condensed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Common Stock Subject to Possible Redemption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account for our common stock subject to possible conversion in accordance with the guidance in Accounting Standards Codification (“ASC”) Topic 480, “Distinguishing Liabilities from Equity.” Common stock subject to mandatory redemption is classified as a liability instrument and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common stock subject to possible redemption is presented at redemption value as temporary equity, outside of the stockholders’ equity section of our condensed balance sheets.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Loss Per Common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loss per common share is computed by dividing net loss by the weighted average number of shares of common stock outstanding during the period. We have two classes of common stock, which are referred to as redeemable common stock and non-redeemable common stock. Income and losses are shared pro rata between the two classes of common stock. Remeasurement associated with the redeemable shares of common stock is excluded from loss per common share as the redemption value approximates fair value.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Recent Accounting Standards</w:t>
      </w:r>
    </w:p>
    <w:p>
      <w:pPr>
        <w:pStyle w:val="TextBody"/>
        <w:bidi w:val="0"/>
        <w:spacing w:before="0" w:after="240"/>
        <w:ind w:left="0" w:right="0"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In August 2020, the FASB issued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ASU 2020-06 removes certain settlement conditions that are required for equity contracts to qualify for the derivative scope exception, and it also simplifies the diluted earnings per share calculation in certain areas. ASU 2020-06 is effective for fiscal years beginning after December 15, 2023, including interim periods within those fiscal years, with early adoption permitted. We adopted ASU 2020-06 on January 1, 2021. The adoption of ASU 2020-06 did not have an impact on our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 does not believe that any other recently issued, but not yet effective, accounting standards, if currently adopted, would have a material effect on our condensed consolidated financial statements.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84" w:name="Item3QuantitativeandQualitativeDisclosur"/>
      <w:bookmarkStart w:id="485" w:name="_365f3ab5_dee4_4463_9f3b_a3a990879a96"/>
      <w:bookmarkEnd w:id="484"/>
      <w:bookmarkEnd w:id="485"/>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smaller reporting company, we are not required to make disclosures under this Item.</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86" w:name="Item4ControlsandProcedures_644466"/>
      <w:bookmarkStart w:id="487" w:name="_7a784197_06c5_4b79_8ff3_8e5d8ef57088"/>
      <w:bookmarkEnd w:id="486"/>
      <w:bookmarkEnd w:id="487"/>
      <w:r>
        <w:rPr>
          <w:rFonts w:ascii="Times New Roman;Times;serif" w:hAnsi="Times New Roman;Times;serif"/>
          <w:b/>
          <w:sz w:val="20"/>
        </w:rPr>
        <w:t>Item 4.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Officers and Chief Financial Officer, to allow timely decisions regarding required disclosure.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required by Rules 13a-15 and 15d-15 under the Exchange Act, our Chief Executive Officers and Chief Financial Officer carried out an evaluation of the effectiveness of the design and operation of our disclosure controls and procedures as of March 31, 2023. Based upon their evaluation, our Chief Executive Officers and Chief Financial Officer concluded that our disclosure controls and procedures (as defined in Rules 13a-15 (e) and 15d-15 (e) under the Exchange Act) were not effective due solely to the material weakness in our internal control over financial reporting related to the Company’s accounting for complex financial instruments, the review of accrued expenses, and the review over the cash flow statement. As a result, we performed additional analysis as deemed necessary to ensure that our financial statements were prepared in accordance with U.S. generally accepted accounting principles. Accordingly, management believes that the financial statements included in this Form 10-Q present fairly in all material respects our financial position, results of operations and cash flows for the period presented.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 intends to implement remediation steps to improve our disclosure controls and procedures and our internal control over financial reporting. Specifically, we intend to expand and improve our review process for complex securities and related accounting standards. We have improved this process by enhancing access to accounting literature, identification of third-party professionals with whom to consult regarding complex accounting applications and consideration of additional staff with the requisite experience and training to supplement existing accounting professionals. We also intend to improve our review process of expenses for accrual purposes in the preparation of our financial statements.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Management’s Report on Internal Controls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on Form 10-Q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such term is defined in Rules 13a-15(f) and 15d-15(f) of the Exchange Act) during the quarter ended March 31, 2023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488" w:name="PARTIIOTHERINFORMATION_160560"/>
      <w:bookmarkStart w:id="489" w:name="_a4dd5096_dd50_4b4d_baa5_48f4f69b4a46"/>
      <w:bookmarkEnd w:id="488"/>
      <w:bookmarkEnd w:id="489"/>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490" w:name="Item1LegalProceedings_505315"/>
      <w:bookmarkEnd w:id="490"/>
      <w:r>
        <w:rPr>
          <w:rFonts w:ascii="Times New Roman;Times;serif" w:hAnsi="Times New Roman;Times;serif"/>
          <w:b/>
          <w:sz w:val="20"/>
        </w:rPr>
        <w:t>Item 1.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91" w:name="Item1ARiskFactors_597986"/>
      <w:bookmarkStart w:id="492" w:name="_6d8690e2_5eca_4ba9_9274_029117007281"/>
      <w:bookmarkEnd w:id="491"/>
      <w:bookmarkEnd w:id="492"/>
      <w:r>
        <w:rPr>
          <w:rFonts w:ascii="Times New Roman;Times;serif" w:hAnsi="Times New Roman;Times;serif"/>
          <w:b/>
          <w:sz w:val="20"/>
        </w:rPr>
        <w:t>Item 1A. Risk Factors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smaller reporting company, we are not required to make disclosures under this Item. We have provided a comprehensive list of risk factors in the Annual Report on Form 10-K for the year ended December 31, 2022, as filed with the SEC on March 31, 2023.</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93" w:name="Item2UnregisteredSalesofEquitySecurities"/>
      <w:bookmarkStart w:id="494" w:name="_0b2707b3_757c_4c5b_a249_82008b334918"/>
      <w:bookmarkEnd w:id="493"/>
      <w:bookmarkEnd w:id="494"/>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95" w:name="Item3DefaultsUponSeniorSecurities_652762"/>
      <w:bookmarkStart w:id="496" w:name="_421e14fa_f5a6_4095_8f08_6eed11c3df35"/>
      <w:bookmarkEnd w:id="495"/>
      <w:bookmarkEnd w:id="496"/>
      <w:r>
        <w:rPr>
          <w:rFonts w:ascii="Times New Roman;Times;serif" w:hAnsi="Times New Roman;Times;serif"/>
          <w:b/>
          <w:sz w:val="20"/>
        </w:rPr>
        <w:t>Item 3. Defaults Upon Senior Securities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97" w:name="Item4MineSafetyDisclosures_545250"/>
      <w:bookmarkStart w:id="498" w:name="_0d966905_be6e_4131_b128_0aee91b360d9"/>
      <w:bookmarkEnd w:id="497"/>
      <w:bookmarkEnd w:id="498"/>
      <w:r>
        <w:rPr>
          <w:rFonts w:ascii="Times New Roman;Times;serif" w:hAnsi="Times New Roman;Times;serif"/>
          <w:b/>
          <w:sz w:val="20"/>
        </w:rPr>
        <w:t>Item 4. Mine Safety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99" w:name="Item5OtherInformation_111835"/>
      <w:bookmarkStart w:id="500" w:name="_5276045f_9edc_4376_821e_a4e204d59106"/>
      <w:bookmarkEnd w:id="499"/>
      <w:bookmarkEnd w:id="500"/>
      <w:r>
        <w:rPr>
          <w:rFonts w:ascii="Times New Roman;Times;serif" w:hAnsi="Times New Roman;Times;serif"/>
          <w:b/>
          <w:sz w:val="20"/>
        </w:rPr>
        <w:t>Item 5. Other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01" w:name="Item6Exhibits_577332"/>
      <w:bookmarkStart w:id="502" w:name="_e77cf0cc_72cf_4ba0_a439_62bc1eb3f4e8"/>
      <w:bookmarkEnd w:id="501"/>
      <w:bookmarkEnd w:id="502"/>
      <w:r>
        <w:rPr>
          <w:rFonts w:ascii="Times New Roman;Times;serif" w:hAnsi="Times New Roman;Times;serif"/>
          <w:b/>
          <w:sz w:val="20"/>
        </w:rPr>
        <w:t>Item 6. Exhibits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exhibits are filed as part of, or incorporated by reference into, this Quarterly Report on Form 10-Q.</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28" w:type="dxa"/>
          <w:right w:w="0" w:type="dxa"/>
        </w:tblCellMar>
      </w:tblPr>
      <w:tblGrid>
        <w:gridCol w:w="772"/>
        <w:gridCol w:w="326"/>
        <w:gridCol w:w="9107"/>
      </w:tblGrid>
      <w:tr>
        <w:trPr/>
        <w:tc>
          <w:tcPr>
            <w:tcW w:w="772"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w:t>
            </w:r>
          </w:p>
        </w:tc>
        <w:tc>
          <w:tcPr>
            <w:tcW w:w="326" w:type="dxa"/>
            <w:tcBorders/>
            <w:tcMar>
              <w:bottom w:w="0" w:type="dxa"/>
            </w:tcMar>
            <w:vAlign w:val="center"/>
          </w:tcPr>
          <w:p>
            <w:pPr>
              <w:pStyle w:val="TableContents"/>
              <w:bidi w:val="0"/>
              <w:spacing w:before="0" w:after="0"/>
              <w:ind w:left="0" w:right="0" w:hanging="0"/>
              <w:jc w:val="both"/>
              <w:rPr/>
            </w:pPr>
            <w:r>
              <w:rPr/>
              <w:t>    </w:t>
            </w:r>
          </w:p>
        </w:tc>
        <w:tc>
          <w:tcPr>
            <w:tcW w:w="9107"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Description of Exhibit</w:t>
            </w:r>
          </w:p>
        </w:tc>
      </w:tr>
      <w:tr>
        <w:trPr/>
        <w:tc>
          <w:tcPr>
            <w:tcW w:w="77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26" w:type="dxa"/>
            <w:tcBorders/>
            <w:tcMar>
              <w:bottom w:w="0" w:type="dxa"/>
            </w:tcMar>
            <w:vAlign w:val="center"/>
          </w:tcPr>
          <w:p>
            <w:pPr>
              <w:pStyle w:val="TableContents"/>
              <w:bidi w:val="0"/>
              <w:spacing w:before="0" w:after="0"/>
              <w:ind w:left="0" w:right="0" w:hanging="0"/>
              <w:jc w:val="both"/>
              <w:rPr/>
            </w:pPr>
            <w:r>
              <w:rPr/>
              <w:t> </w:t>
            </w:r>
          </w:p>
        </w:tc>
        <w:tc>
          <w:tcPr>
            <w:tcW w:w="9107" w:type="dxa"/>
            <w:tcBorders/>
            <w:tcMar>
              <w:bottom w:w="0" w:type="dxa"/>
            </w:tcMar>
            <w:vAlign w:val="center"/>
          </w:tcPr>
          <w:p>
            <w:pPr>
              <w:pStyle w:val="TableContents"/>
              <w:bidi w:val="0"/>
              <w:spacing w:before="0" w:after="0"/>
              <w:ind w:left="0" w:right="0" w:hanging="0"/>
              <w:jc w:val="both"/>
              <w:rPr/>
            </w:pPr>
            <w:hyperlink w:anchor="rocg-20230331xex31d1.htm">
              <w:r>
                <w:rPr>
                  <w:rStyle w:val="InternetLink"/>
                  <w:rFonts w:ascii="Times New Roman;Times;serif" w:hAnsi="Times New Roman;Times;serif"/>
                  <w:b w:val="false"/>
                  <w:i w:val="false"/>
                  <w:caps w:val="false"/>
                  <w:smallCaps w:val="false"/>
                  <w:sz w:val="20"/>
                </w:rPr>
                <w:t>Certification of Principal Executive Officer Pursuant to Securities Exchange Act Rules 13a-14(a) and 15(d)-14(a), as adopted Pursuant to Section 302 of the Sarbanes-Oxley Act of 2002</w:t>
              </w:r>
            </w:hyperlink>
          </w:p>
        </w:tc>
      </w:tr>
      <w:tr>
        <w:trPr/>
        <w:tc>
          <w:tcPr>
            <w:tcW w:w="77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26" w:type="dxa"/>
            <w:tcBorders/>
            <w:tcMar>
              <w:bottom w:w="0" w:type="dxa"/>
            </w:tcMar>
            <w:vAlign w:val="center"/>
          </w:tcPr>
          <w:p>
            <w:pPr>
              <w:pStyle w:val="TableContents"/>
              <w:bidi w:val="0"/>
              <w:spacing w:before="0" w:after="0"/>
              <w:ind w:left="0" w:right="0" w:hanging="0"/>
              <w:jc w:val="both"/>
              <w:rPr/>
            </w:pPr>
            <w:r>
              <w:rPr/>
              <w:t> </w:t>
            </w:r>
          </w:p>
        </w:tc>
        <w:tc>
          <w:tcPr>
            <w:tcW w:w="9107" w:type="dxa"/>
            <w:tcBorders/>
            <w:tcMar>
              <w:bottom w:w="0" w:type="dxa"/>
            </w:tcMar>
            <w:vAlign w:val="center"/>
          </w:tcPr>
          <w:p>
            <w:pPr>
              <w:pStyle w:val="TableContents"/>
              <w:bidi w:val="0"/>
              <w:spacing w:before="0" w:after="0"/>
              <w:ind w:left="0" w:right="0" w:hanging="0"/>
              <w:jc w:val="both"/>
              <w:rPr/>
            </w:pPr>
            <w:hyperlink w:anchor="rocg-20230331xex31d2.htm">
              <w:r>
                <w:rPr>
                  <w:rStyle w:val="InternetLink"/>
                  <w:rFonts w:ascii="Times New Roman;Times;serif" w:hAnsi="Times New Roman;Times;serif"/>
                  <w:b w:val="false"/>
                  <w:i w:val="false"/>
                  <w:caps w:val="false"/>
                  <w:smallCaps w:val="false"/>
                  <w:sz w:val="20"/>
                </w:rPr>
                <w:t>Certification of Principal Financial Officer Pursuant to Securities Exchange Act Rules 13a-14(a) and 15(d)-14(a), as adopted Pursuant to Section 302 of the Sarbanes-Oxley Act of 2002</w:t>
              </w:r>
            </w:hyperlink>
          </w:p>
        </w:tc>
      </w:tr>
      <w:tr>
        <w:trPr/>
        <w:tc>
          <w:tcPr>
            <w:tcW w:w="77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26" w:type="dxa"/>
            <w:tcBorders/>
            <w:tcMar>
              <w:bottom w:w="0" w:type="dxa"/>
            </w:tcMar>
            <w:vAlign w:val="center"/>
          </w:tcPr>
          <w:p>
            <w:pPr>
              <w:pStyle w:val="TableContents"/>
              <w:bidi w:val="0"/>
              <w:spacing w:before="0" w:after="0"/>
              <w:ind w:left="0" w:right="0" w:hanging="0"/>
              <w:jc w:val="both"/>
              <w:rPr/>
            </w:pPr>
            <w:r>
              <w:rPr/>
              <w:t> </w:t>
            </w:r>
          </w:p>
        </w:tc>
        <w:tc>
          <w:tcPr>
            <w:tcW w:w="9107" w:type="dxa"/>
            <w:tcBorders/>
            <w:tcMar>
              <w:bottom w:w="0" w:type="dxa"/>
            </w:tcMar>
            <w:vAlign w:val="center"/>
          </w:tcPr>
          <w:p>
            <w:pPr>
              <w:pStyle w:val="TableContents"/>
              <w:bidi w:val="0"/>
              <w:spacing w:before="0" w:after="0"/>
              <w:ind w:left="0" w:right="0" w:hanging="0"/>
              <w:jc w:val="both"/>
              <w:rPr/>
            </w:pPr>
            <w:hyperlink w:anchor="rocg-202303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77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326" w:type="dxa"/>
            <w:tcBorders/>
            <w:tcMar>
              <w:bottom w:w="0" w:type="dxa"/>
            </w:tcMar>
            <w:vAlign w:val="center"/>
          </w:tcPr>
          <w:p>
            <w:pPr>
              <w:pStyle w:val="TableContents"/>
              <w:bidi w:val="0"/>
              <w:spacing w:before="0" w:after="0"/>
              <w:ind w:left="0" w:right="0" w:hanging="0"/>
              <w:jc w:val="both"/>
              <w:rPr/>
            </w:pPr>
            <w:r>
              <w:rPr/>
              <w:t> </w:t>
            </w:r>
          </w:p>
        </w:tc>
        <w:tc>
          <w:tcPr>
            <w:tcW w:w="9107" w:type="dxa"/>
            <w:tcBorders/>
            <w:tcMar>
              <w:bottom w:w="0" w:type="dxa"/>
            </w:tcMar>
            <w:vAlign w:val="center"/>
          </w:tcPr>
          <w:p>
            <w:pPr>
              <w:pStyle w:val="TableContents"/>
              <w:bidi w:val="0"/>
              <w:spacing w:before="0" w:after="0"/>
              <w:ind w:left="0" w:right="0" w:hanging="0"/>
              <w:jc w:val="both"/>
              <w:rPr/>
            </w:pPr>
            <w:hyperlink w:anchor="rocg-202303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77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326" w:type="dxa"/>
            <w:tcBorders/>
            <w:tcMar>
              <w:bottom w:w="0" w:type="dxa"/>
            </w:tcMar>
            <w:vAlign w:val="center"/>
          </w:tcPr>
          <w:p>
            <w:pPr>
              <w:pStyle w:val="TableContents"/>
              <w:bidi w:val="0"/>
              <w:spacing w:before="0" w:after="0"/>
              <w:ind w:left="0" w:right="0" w:hanging="0"/>
              <w:jc w:val="both"/>
              <w:rPr/>
            </w:pPr>
            <w:r>
              <w:rPr/>
              <w:t> </w:t>
            </w:r>
          </w:p>
        </w:tc>
        <w:tc>
          <w:tcPr>
            <w:tcW w:w="9107"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77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326" w:type="dxa"/>
            <w:tcBorders/>
            <w:tcMar>
              <w:bottom w:w="0" w:type="dxa"/>
            </w:tcMar>
            <w:vAlign w:val="center"/>
          </w:tcPr>
          <w:p>
            <w:pPr>
              <w:pStyle w:val="TableContents"/>
              <w:bidi w:val="0"/>
              <w:spacing w:before="0" w:after="0"/>
              <w:ind w:left="0" w:right="0" w:hanging="0"/>
              <w:jc w:val="both"/>
              <w:rPr/>
            </w:pPr>
            <w:r>
              <w:rPr/>
              <w:t> </w:t>
            </w:r>
          </w:p>
        </w:tc>
        <w:tc>
          <w:tcPr>
            <w:tcW w:w="9107"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7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326" w:type="dxa"/>
            <w:tcBorders/>
            <w:tcMar>
              <w:bottom w:w="0" w:type="dxa"/>
            </w:tcMar>
            <w:vAlign w:val="center"/>
          </w:tcPr>
          <w:p>
            <w:pPr>
              <w:pStyle w:val="TableContents"/>
              <w:bidi w:val="0"/>
              <w:spacing w:before="0" w:after="0"/>
              <w:ind w:left="0" w:right="0" w:hanging="0"/>
              <w:jc w:val="both"/>
              <w:rPr/>
            </w:pPr>
            <w:r>
              <w:rPr/>
              <w:t> </w:t>
            </w:r>
          </w:p>
        </w:tc>
        <w:tc>
          <w:tcPr>
            <w:tcW w:w="9107"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7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326" w:type="dxa"/>
            <w:tcBorders/>
            <w:tcMar>
              <w:bottom w:w="0" w:type="dxa"/>
            </w:tcMar>
            <w:vAlign w:val="center"/>
          </w:tcPr>
          <w:p>
            <w:pPr>
              <w:pStyle w:val="TableContents"/>
              <w:bidi w:val="0"/>
              <w:spacing w:before="0" w:after="0"/>
              <w:ind w:left="0" w:right="0" w:hanging="0"/>
              <w:jc w:val="both"/>
              <w:rPr/>
            </w:pPr>
            <w:r>
              <w:rPr/>
              <w:t> </w:t>
            </w:r>
          </w:p>
        </w:tc>
        <w:tc>
          <w:tcPr>
            <w:tcW w:w="9107"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7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326" w:type="dxa"/>
            <w:tcBorders/>
            <w:tcMar>
              <w:bottom w:w="0" w:type="dxa"/>
            </w:tcMar>
            <w:vAlign w:val="center"/>
          </w:tcPr>
          <w:p>
            <w:pPr>
              <w:pStyle w:val="TableContents"/>
              <w:bidi w:val="0"/>
              <w:spacing w:before="0" w:after="0"/>
              <w:ind w:left="0" w:right="0" w:hanging="0"/>
              <w:jc w:val="both"/>
              <w:rPr/>
            </w:pPr>
            <w:r>
              <w:rPr/>
              <w:t> </w:t>
            </w:r>
          </w:p>
        </w:tc>
        <w:tc>
          <w:tcPr>
            <w:tcW w:w="9107"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Labels Linkbase Document</w:t>
            </w:r>
          </w:p>
        </w:tc>
      </w:tr>
      <w:tr>
        <w:trPr/>
        <w:tc>
          <w:tcPr>
            <w:tcW w:w="77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326" w:type="dxa"/>
            <w:tcBorders/>
            <w:tcMar>
              <w:bottom w:w="0" w:type="dxa"/>
            </w:tcMar>
            <w:vAlign w:val="center"/>
          </w:tcPr>
          <w:p>
            <w:pPr>
              <w:pStyle w:val="TableContents"/>
              <w:bidi w:val="0"/>
              <w:spacing w:before="0" w:after="0"/>
              <w:ind w:left="0" w:right="0" w:hanging="0"/>
              <w:jc w:val="both"/>
              <w:rPr/>
            </w:pPr>
            <w:r>
              <w:rPr/>
              <w:t> </w:t>
            </w:r>
          </w:p>
        </w:tc>
        <w:tc>
          <w:tcPr>
            <w:tcW w:w="9107"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7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26" w:type="dxa"/>
            <w:tcBorders/>
            <w:tcMar>
              <w:bottom w:w="0" w:type="dxa"/>
            </w:tcMar>
            <w:vAlign w:val="center"/>
          </w:tcPr>
          <w:p>
            <w:pPr>
              <w:pStyle w:val="TableContents"/>
              <w:bidi w:val="0"/>
              <w:spacing w:before="0" w:after="0"/>
              <w:ind w:left="0" w:right="0" w:hanging="0"/>
              <w:jc w:val="both"/>
              <w:rPr/>
            </w:pPr>
            <w:r>
              <w:rPr/>
              <w:t>​</w:t>
            </w:r>
          </w:p>
        </w:tc>
        <w:tc>
          <w:tcPr>
            <w:tcW w:w="9107"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 and included in Exhibit)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herewith.</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03" w:name="SIGNATURES_22012"/>
      <w:bookmarkStart w:id="504" w:name="_51e396b9_232e_47ee_954a_3975c4b8ab0b"/>
      <w:bookmarkEnd w:id="503"/>
      <w:bookmarkEnd w:id="504"/>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183" w:type="dxa"/>
        <w:jc w:val="left"/>
        <w:tblInd w:w="0" w:type="dxa"/>
        <w:tblLayout w:type="fixed"/>
        <w:tblCellMar>
          <w:top w:w="0" w:type="dxa"/>
          <w:left w:w="0" w:type="dxa"/>
          <w:bottom w:w="0" w:type="dxa"/>
          <w:right w:w="0" w:type="dxa"/>
        </w:tblCellMar>
      </w:tblPr>
      <w:tblGrid>
        <w:gridCol w:w="1546"/>
        <w:gridCol w:w="571"/>
        <w:gridCol w:w="4066"/>
      </w:tblGrid>
      <w:tr>
        <w:trPr/>
        <w:tc>
          <w:tcPr>
            <w:tcW w:w="1546" w:type="dxa"/>
            <w:tcBorders/>
            <w:vAlign w:val="center"/>
          </w:tcPr>
          <w:p>
            <w:pPr>
              <w:pStyle w:val="TableContents"/>
              <w:bidi w:val="0"/>
              <w:spacing w:before="0" w:after="0"/>
              <w:ind w:left="0" w:right="0" w:hanging="0"/>
              <w:jc w:val="both"/>
              <w:rPr/>
            </w:pPr>
            <w:r>
              <w:rPr/>
              <w:t> </w:t>
            </w:r>
          </w:p>
        </w:tc>
        <w:tc>
          <w:tcPr>
            <w:tcW w:w="4637" w:type="dxa"/>
            <w:gridSpan w:val="2"/>
            <w:tcBorders/>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ROTH CH ACQUISITION IV CO.</w:t>
            </w:r>
          </w:p>
        </w:tc>
      </w:tr>
      <w:tr>
        <w:trPr/>
        <w:tc>
          <w:tcPr>
            <w:tcW w:w="1546" w:type="dxa"/>
            <w:tcBorders/>
            <w:vAlign w:val="center"/>
          </w:tcPr>
          <w:p>
            <w:pPr>
              <w:pStyle w:val="TableContents"/>
              <w:bidi w:val="0"/>
              <w:spacing w:before="0" w:after="0"/>
              <w:ind w:left="0" w:right="0" w:hanging="0"/>
              <w:jc w:val="both"/>
              <w:rPr/>
            </w:pPr>
            <w:r>
              <w:rPr/>
              <w:t> </w:t>
            </w:r>
          </w:p>
        </w:tc>
        <w:tc>
          <w:tcPr>
            <w:tcW w:w="571" w:type="dxa"/>
            <w:tcBorders/>
            <w:vAlign w:val="center"/>
          </w:tcPr>
          <w:p>
            <w:pPr>
              <w:pStyle w:val="TableContents"/>
              <w:bidi w:val="0"/>
              <w:spacing w:before="0" w:after="0"/>
              <w:ind w:left="0" w:right="0" w:hanging="0"/>
              <w:jc w:val="both"/>
              <w:rPr/>
            </w:pPr>
            <w:r>
              <w:rPr/>
              <w:t> </w:t>
            </w:r>
          </w:p>
        </w:tc>
        <w:tc>
          <w:tcPr>
            <w:tcW w:w="4066" w:type="dxa"/>
            <w:tcBorders/>
            <w:vAlign w:val="center"/>
          </w:tcPr>
          <w:p>
            <w:pPr>
              <w:pStyle w:val="TableContents"/>
              <w:bidi w:val="0"/>
              <w:spacing w:before="0" w:after="0"/>
              <w:ind w:left="0" w:right="0" w:hanging="0"/>
              <w:jc w:val="both"/>
              <w:rPr/>
            </w:pPr>
            <w:r>
              <w:rPr/>
              <w:t> </w:t>
            </w:r>
          </w:p>
        </w:tc>
      </w:tr>
      <w:tr>
        <w:trPr/>
        <w:tc>
          <w:tcPr>
            <w:tcW w:w="154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Date: May 12, 2023</w:t>
            </w:r>
          </w:p>
        </w:tc>
        <w:tc>
          <w:tcPr>
            <w:tcW w:w="57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By:</w:t>
            </w:r>
          </w:p>
        </w:tc>
        <w:tc>
          <w:tcPr>
            <w:tcW w:w="406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/s/ Byron Roth</w:t>
            </w:r>
          </w:p>
        </w:tc>
      </w:tr>
      <w:tr>
        <w:trPr/>
        <w:tc>
          <w:tcPr>
            <w:tcW w:w="1546" w:type="dxa"/>
            <w:tcBorders/>
            <w:vAlign w:val="center"/>
          </w:tcPr>
          <w:p>
            <w:pPr>
              <w:pStyle w:val="TableContents"/>
              <w:bidi w:val="0"/>
              <w:spacing w:before="0" w:after="0"/>
              <w:ind w:left="0" w:right="0" w:hanging="0"/>
              <w:jc w:val="both"/>
              <w:rPr/>
            </w:pPr>
            <w:r>
              <w:rPr/>
              <w:t> </w:t>
            </w:r>
          </w:p>
        </w:tc>
        <w:tc>
          <w:tcPr>
            <w:tcW w:w="57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Name:</w:t>
            </w:r>
          </w:p>
        </w:tc>
        <w:tc>
          <w:tcPr>
            <w:tcW w:w="406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Byron Roth</w:t>
            </w:r>
          </w:p>
        </w:tc>
      </w:tr>
      <w:tr>
        <w:trPr/>
        <w:tc>
          <w:tcPr>
            <w:tcW w:w="1546" w:type="dxa"/>
            <w:tcBorders/>
            <w:vAlign w:val="center"/>
          </w:tcPr>
          <w:p>
            <w:pPr>
              <w:pStyle w:val="TableContents"/>
              <w:bidi w:val="0"/>
              <w:spacing w:before="0" w:after="0"/>
              <w:ind w:left="0" w:right="0" w:hanging="0"/>
              <w:jc w:val="both"/>
              <w:rPr/>
            </w:pPr>
            <w:r>
              <w:rPr/>
              <w:t> </w:t>
            </w:r>
          </w:p>
        </w:tc>
        <w:tc>
          <w:tcPr>
            <w:tcW w:w="57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Title:</w:t>
            </w:r>
          </w:p>
        </w:tc>
        <w:tc>
          <w:tcPr>
            <w:tcW w:w="406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Co-Chief Executive Officer and Chairman of the Board</w:t>
            </w:r>
          </w:p>
        </w:tc>
      </w:tr>
      <w:tr>
        <w:trPr/>
        <w:tc>
          <w:tcPr>
            <w:tcW w:w="1546" w:type="dxa"/>
            <w:tcBorders/>
            <w:vAlign w:val="center"/>
          </w:tcPr>
          <w:p>
            <w:pPr>
              <w:pStyle w:val="TableContents"/>
              <w:bidi w:val="0"/>
              <w:spacing w:before="0" w:after="0"/>
              <w:ind w:left="0" w:right="0" w:hanging="0"/>
              <w:jc w:val="both"/>
              <w:rPr/>
            </w:pPr>
            <w:r>
              <w:rPr/>
              <w:t> </w:t>
            </w:r>
          </w:p>
        </w:tc>
        <w:tc>
          <w:tcPr>
            <w:tcW w:w="571" w:type="dxa"/>
            <w:tcBorders/>
            <w:vAlign w:val="center"/>
          </w:tcPr>
          <w:p>
            <w:pPr>
              <w:pStyle w:val="TableContents"/>
              <w:bidi w:val="0"/>
              <w:spacing w:before="0" w:after="0"/>
              <w:ind w:left="0" w:right="0" w:hanging="0"/>
              <w:jc w:val="both"/>
              <w:rPr/>
            </w:pPr>
            <w:r>
              <w:rPr/>
              <w:t> </w:t>
            </w:r>
          </w:p>
        </w:tc>
        <w:tc>
          <w:tcPr>
            <w:tcW w:w="406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(Principal Executive Officer)</w:t>
            </w:r>
          </w:p>
        </w:tc>
      </w:tr>
      <w:tr>
        <w:trPr/>
        <w:tc>
          <w:tcPr>
            <w:tcW w:w="1546" w:type="dxa"/>
            <w:tcBorders/>
            <w:vAlign w:val="center"/>
          </w:tcPr>
          <w:p>
            <w:pPr>
              <w:pStyle w:val="TableContents"/>
              <w:bidi w:val="0"/>
              <w:spacing w:before="0" w:after="0"/>
              <w:ind w:left="0" w:right="0" w:hanging="0"/>
              <w:jc w:val="both"/>
              <w:rPr/>
            </w:pPr>
            <w:r>
              <w:rPr/>
              <w:t> </w:t>
            </w:r>
          </w:p>
        </w:tc>
        <w:tc>
          <w:tcPr>
            <w:tcW w:w="571" w:type="dxa"/>
            <w:tcBorders/>
            <w:vAlign w:val="center"/>
          </w:tcPr>
          <w:p>
            <w:pPr>
              <w:pStyle w:val="TableContents"/>
              <w:bidi w:val="0"/>
              <w:spacing w:before="0" w:after="0"/>
              <w:ind w:left="0" w:right="0" w:hanging="0"/>
              <w:jc w:val="both"/>
              <w:rPr/>
            </w:pPr>
            <w:r>
              <w:rPr/>
              <w:t> </w:t>
            </w:r>
          </w:p>
        </w:tc>
        <w:tc>
          <w:tcPr>
            <w:tcW w:w="4066" w:type="dxa"/>
            <w:tcBorders/>
            <w:vAlign w:val="center"/>
          </w:tcPr>
          <w:p>
            <w:pPr>
              <w:pStyle w:val="TableContents"/>
              <w:bidi w:val="0"/>
              <w:spacing w:before="0" w:after="0"/>
              <w:ind w:left="0" w:right="0" w:hanging="0"/>
              <w:jc w:val="both"/>
              <w:rPr/>
            </w:pPr>
            <w:r>
              <w:rPr/>
              <w:t> </w:t>
            </w:r>
          </w:p>
        </w:tc>
      </w:tr>
      <w:tr>
        <w:trPr/>
        <w:tc>
          <w:tcPr>
            <w:tcW w:w="154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Date: May 12, 2023</w:t>
            </w:r>
          </w:p>
        </w:tc>
        <w:tc>
          <w:tcPr>
            <w:tcW w:w="57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By:</w:t>
            </w:r>
          </w:p>
        </w:tc>
        <w:tc>
          <w:tcPr>
            <w:tcW w:w="406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/s/ Gordon Roth</w:t>
            </w:r>
          </w:p>
        </w:tc>
      </w:tr>
      <w:tr>
        <w:trPr/>
        <w:tc>
          <w:tcPr>
            <w:tcW w:w="1546" w:type="dxa"/>
            <w:tcBorders/>
            <w:vAlign w:val="center"/>
          </w:tcPr>
          <w:p>
            <w:pPr>
              <w:pStyle w:val="TableContents"/>
              <w:bidi w:val="0"/>
              <w:spacing w:before="0" w:after="0"/>
              <w:ind w:left="0" w:right="0" w:hanging="0"/>
              <w:jc w:val="both"/>
              <w:rPr/>
            </w:pPr>
            <w:r>
              <w:rPr/>
              <w:t> </w:t>
            </w:r>
          </w:p>
        </w:tc>
        <w:tc>
          <w:tcPr>
            <w:tcW w:w="57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Name:</w:t>
            </w:r>
          </w:p>
        </w:tc>
        <w:tc>
          <w:tcPr>
            <w:tcW w:w="406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Gordon Roth</w:t>
            </w:r>
          </w:p>
        </w:tc>
      </w:tr>
      <w:tr>
        <w:trPr/>
        <w:tc>
          <w:tcPr>
            <w:tcW w:w="1546" w:type="dxa"/>
            <w:tcBorders/>
            <w:vAlign w:val="center"/>
          </w:tcPr>
          <w:p>
            <w:pPr>
              <w:pStyle w:val="TableContents"/>
              <w:bidi w:val="0"/>
              <w:spacing w:before="0" w:after="0"/>
              <w:ind w:left="0" w:right="0" w:hanging="0"/>
              <w:jc w:val="both"/>
              <w:rPr/>
            </w:pPr>
            <w:r>
              <w:rPr/>
              <w:t> </w:t>
            </w:r>
          </w:p>
        </w:tc>
        <w:tc>
          <w:tcPr>
            <w:tcW w:w="57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Title:</w:t>
            </w:r>
          </w:p>
        </w:tc>
        <w:tc>
          <w:tcPr>
            <w:tcW w:w="406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Chief Financial Officer</w:t>
            </w:r>
          </w:p>
        </w:tc>
      </w:tr>
      <w:tr>
        <w:trPr/>
        <w:tc>
          <w:tcPr>
            <w:tcW w:w="1546" w:type="dxa"/>
            <w:tcBorders/>
            <w:vAlign w:val="center"/>
          </w:tcPr>
          <w:p>
            <w:pPr>
              <w:pStyle w:val="TableContents"/>
              <w:bidi w:val="0"/>
              <w:spacing w:before="0" w:after="0"/>
              <w:ind w:left="0" w:right="0" w:hanging="0"/>
              <w:jc w:val="both"/>
              <w:rPr/>
            </w:pPr>
            <w:r>
              <w:rPr/>
              <w:t> </w:t>
            </w:r>
          </w:p>
        </w:tc>
        <w:tc>
          <w:tcPr>
            <w:tcW w:w="571" w:type="dxa"/>
            <w:tcBorders/>
            <w:vAlign w:val="center"/>
          </w:tcPr>
          <w:p>
            <w:pPr>
              <w:pStyle w:val="TableContents"/>
              <w:bidi w:val="0"/>
              <w:spacing w:before="0" w:after="0"/>
              <w:ind w:left="0" w:right="0" w:hanging="0"/>
              <w:jc w:val="both"/>
              <w:rPr/>
            </w:pPr>
            <w:r>
              <w:rPr/>
              <w:t> </w:t>
            </w:r>
          </w:p>
        </w:tc>
        <w:tc>
          <w:tcPr>
            <w:tcW w:w="406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(Principal Accounting and Financial Officer)</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0"/>
        <w:ind w:left="1286" w:right="0" w:hanging="0"/>
        <w:jc w:val="right"/>
        <w:rPr>
          <w:rFonts w:ascii="Times New Roman;Times;serif" w:hAnsi="Times New Roman;Times;serif"/>
          <w:b/>
          <w:sz w:val="20"/>
        </w:rPr>
      </w:pPr>
      <w:bookmarkStart w:id="505" w:name="rocg-20230331xex31d1.htm"/>
      <w:bookmarkStart w:id="506" w:name="ksrocg20230331xex31d1"/>
      <w:bookmarkEnd w:id="505"/>
      <w:bookmarkEnd w:id="506"/>
      <w:r>
        <w:rPr>
          <w:rFonts w:ascii="Times New Roman;Times;serif" w:hAnsi="Times New Roman;Times;serif"/>
          <w:b/>
          <w:sz w:val="20"/>
        </w:rPr>
        <w:t>EXHIBIT 31.1</w:t>
      </w:r>
      <w:r>
        <w:br w:type="page"/>
      </w:r>
    </w:p>
    <w:p>
      <w:pPr>
        <w:pStyle w:val="TextBody"/>
        <w:bidi w:val="0"/>
        <w:spacing w:before="0" w:after="0"/>
        <w:ind w:left="1286"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 AND 15D-14(A) UNDER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0"/>
        <w:ind w:left="677"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Byron Roth, certify that: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quarterly report on Form 10-Q for the quarterly period ended March 31, 2023 of Roth CH Acquisition IV Co.;</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6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1"/>
        <w:gridCol w:w="10051"/>
      </w:tblGrid>
      <w:tr>
        <w:trPr/>
        <w:tc>
          <w:tcPr>
            <w:tcW w:w="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5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tc>
      </w:tr>
    </w:tbl>
    <w:p>
      <w:pPr>
        <w:pStyle w:val="TextBody"/>
        <w:bidi w:val="0"/>
        <w:spacing w:before="0" w:after="0"/>
        <w:ind w:left="0" w:right="0" w:hanging="0"/>
        <w:jc w:val="left"/>
        <w:rPr/>
      </w:pPr>
      <w:r>
        <w:rPr/>
        <w:t>​</w:t>
      </w:r>
    </w:p>
    <w:tbl>
      <w:tblPr>
        <w:tblW w:w="6558" w:type="dxa"/>
        <w:jc w:val="left"/>
        <w:tblInd w:w="0" w:type="dxa"/>
        <w:tblLayout w:type="fixed"/>
        <w:tblCellMar>
          <w:top w:w="0" w:type="dxa"/>
          <w:left w:w="0" w:type="dxa"/>
          <w:bottom w:w="0" w:type="dxa"/>
          <w:right w:w="0" w:type="dxa"/>
        </w:tblCellMar>
      </w:tblPr>
      <w:tblGrid>
        <w:gridCol w:w="23"/>
        <w:gridCol w:w="185"/>
        <w:gridCol w:w="635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63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(Paragraph omitted pursuant to Exchange Act Rules 13a-14(a) and 15d-15(a));</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6347" w:type="dxa"/>
        <w:jc w:val="center"/>
        <w:tblInd w:w="0" w:type="dxa"/>
        <w:tblLayout w:type="fixed"/>
        <w:tblCellMar>
          <w:top w:w="0" w:type="dxa"/>
          <w:left w:w="0" w:type="dxa"/>
          <w:bottom w:w="0" w:type="dxa"/>
          <w:right w:w="0" w:type="dxa"/>
        </w:tblCellMar>
      </w:tblPr>
      <w:tblGrid>
        <w:gridCol w:w="1741"/>
        <w:gridCol w:w="4606"/>
      </w:tblGrid>
      <w:tr>
        <w:trPr/>
        <w:tc>
          <w:tcPr>
            <w:tcW w:w="17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May 12, 2023</w:t>
            </w:r>
          </w:p>
        </w:tc>
        <w:tc>
          <w:tcPr>
            <w:tcW w:w="4606" w:type="dxa"/>
            <w:tcBorders/>
            <w:vAlign w:val="center"/>
          </w:tcPr>
          <w:p>
            <w:pPr>
              <w:pStyle w:val="TableContents"/>
              <w:bidi w:val="0"/>
              <w:spacing w:before="0" w:after="0"/>
              <w:ind w:left="0" w:right="0" w:hanging="0"/>
              <w:jc w:val="both"/>
              <w:rPr/>
            </w:pPr>
            <w:r>
              <w:rPr/>
              <w:t>​</w:t>
            </w:r>
          </w:p>
        </w:tc>
      </w:tr>
      <w:tr>
        <w:trPr/>
        <w:tc>
          <w:tcPr>
            <w:tcW w:w="1741" w:type="dxa"/>
            <w:tcBorders/>
            <w:vAlign w:val="center"/>
          </w:tcPr>
          <w:p>
            <w:pPr>
              <w:pStyle w:val="TableContents"/>
              <w:pBdr/>
              <w:bidi w:val="0"/>
              <w:spacing w:before="0" w:after="0"/>
              <w:ind w:left="0" w:right="0" w:hanging="0"/>
              <w:jc w:val="both"/>
              <w:rPr/>
            </w:pPr>
            <w:r>
              <w:rPr/>
              <w:t>​</w:t>
            </w:r>
          </w:p>
        </w:tc>
        <w:tc>
          <w:tcPr>
            <w:tcW w:w="4606" w:type="dxa"/>
            <w:tcBorders/>
            <w:vAlign w:val="center"/>
          </w:tcPr>
          <w:p>
            <w:pPr>
              <w:pStyle w:val="TableContents"/>
              <w:bidi w:val="0"/>
              <w:spacing w:before="0" w:after="0"/>
              <w:ind w:left="0" w:right="0" w:hanging="0"/>
              <w:jc w:val="both"/>
              <w:rPr/>
            </w:pPr>
            <w:r>
              <w:rPr/>
              <w:t>​</w:t>
            </w:r>
          </w:p>
        </w:tc>
      </w:tr>
      <w:tr>
        <w:trPr/>
        <w:tc>
          <w:tcPr>
            <w:tcW w:w="1741" w:type="dxa"/>
            <w:tcBorders/>
            <w:vAlign w:val="center"/>
          </w:tcPr>
          <w:p>
            <w:pPr>
              <w:pStyle w:val="TableContents"/>
              <w:pBdr/>
              <w:bidi w:val="0"/>
              <w:spacing w:before="0" w:after="0"/>
              <w:ind w:left="0" w:right="0" w:hanging="0"/>
              <w:jc w:val="left"/>
              <w:rPr/>
            </w:pPr>
            <w:r>
              <w:rPr/>
              <w:t>​</w:t>
            </w:r>
          </w:p>
        </w:tc>
        <w:tc>
          <w:tcPr>
            <w:tcW w:w="46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Byron Roth</w:t>
            </w:r>
          </w:p>
        </w:tc>
      </w:tr>
      <w:tr>
        <w:trPr/>
        <w:tc>
          <w:tcPr>
            <w:tcW w:w="1741" w:type="dxa"/>
            <w:tcBorders/>
            <w:vAlign w:val="center"/>
          </w:tcPr>
          <w:p>
            <w:pPr>
              <w:pStyle w:val="TableContents"/>
              <w:pBdr/>
              <w:bidi w:val="0"/>
              <w:spacing w:before="0" w:after="0"/>
              <w:ind w:left="0" w:right="0" w:hanging="0"/>
              <w:jc w:val="left"/>
              <w:rPr/>
            </w:pPr>
            <w:r>
              <w:rPr/>
              <w:t>​</w:t>
            </w:r>
          </w:p>
        </w:tc>
        <w:tc>
          <w:tcPr>
            <w:tcW w:w="46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Byron Roth</w:t>
            </w:r>
          </w:p>
        </w:tc>
      </w:tr>
      <w:tr>
        <w:trPr/>
        <w:tc>
          <w:tcPr>
            <w:tcW w:w="1741" w:type="dxa"/>
            <w:tcBorders/>
            <w:vAlign w:val="center"/>
          </w:tcPr>
          <w:p>
            <w:pPr>
              <w:pStyle w:val="TableContents"/>
              <w:pBdr/>
              <w:bidi w:val="0"/>
              <w:spacing w:before="0" w:after="0"/>
              <w:ind w:left="0" w:right="0" w:hanging="0"/>
              <w:jc w:val="left"/>
              <w:rPr/>
            </w:pPr>
            <w:r>
              <w:rPr/>
              <w:t>​</w:t>
            </w:r>
          </w:p>
        </w:tc>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Co-Chief Executive Officer and Chairman of the Board</w:t>
            </w:r>
          </w:p>
        </w:tc>
      </w:tr>
      <w:tr>
        <w:trPr/>
        <w:tc>
          <w:tcPr>
            <w:tcW w:w="1741" w:type="dxa"/>
            <w:tcBorders/>
            <w:vAlign w:val="center"/>
          </w:tcPr>
          <w:p>
            <w:pPr>
              <w:pStyle w:val="TableContents"/>
              <w:pBdr/>
              <w:bidi w:val="0"/>
              <w:spacing w:before="0" w:after="0"/>
              <w:ind w:left="0" w:right="0" w:hanging="0"/>
              <w:jc w:val="left"/>
              <w:rPr/>
            </w:pPr>
            <w:r>
              <w:rPr/>
              <w:t>​</w:t>
            </w:r>
          </w:p>
        </w:tc>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677" w:right="0" w:hanging="0"/>
        <w:jc w:val="right"/>
        <w:rPr>
          <w:rFonts w:ascii="Times New Roman;Times;serif" w:hAnsi="Times New Roman;Times;serif"/>
          <w:b/>
          <w:sz w:val="20"/>
        </w:rPr>
      </w:pPr>
      <w:bookmarkStart w:id="507" w:name="rocg-20230331xex31d2.htm"/>
      <w:bookmarkStart w:id="508" w:name="ksrocg20230331xex31d2"/>
      <w:bookmarkEnd w:id="507"/>
      <w:bookmarkEnd w:id="508"/>
      <w:r>
        <w:rPr>
          <w:rFonts w:ascii="Times New Roman;Times;serif" w:hAnsi="Times New Roman;Times;serif"/>
          <w:b/>
          <w:sz w:val="20"/>
        </w:rPr>
        <w:t>EXHIBIT 31.2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 AND 15D-14(A) UNDER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0"/>
        <w:ind w:left="677" w:right="0" w:hanging="0"/>
        <w:jc w:val="left"/>
        <w:rPr/>
      </w:pPr>
      <w:r>
        <w:rPr/>
        <w:t>​</w:t>
      </w:r>
    </w:p>
    <w:p>
      <w:pPr>
        <w:pStyle w:val="TextBody"/>
        <w:pBdr/>
        <w:bidi w:val="0"/>
        <w:spacing w:before="0" w:after="0"/>
        <w:ind w:left="677" w:right="0" w:hanging="324"/>
        <w:jc w:val="left"/>
        <w:rPr>
          <w:rFonts w:ascii="Times New Roman;Times;serif" w:hAnsi="Times New Roman;Times;serif"/>
          <w:sz w:val="20"/>
        </w:rPr>
      </w:pPr>
      <w:r>
        <w:rPr>
          <w:rFonts w:ascii="Times New Roman;Times;serif" w:hAnsi="Times New Roman;Times;serif"/>
          <w:sz w:val="20"/>
        </w:rPr>
        <w:t>I, Gordon Roth, certify that:</w:t>
      </w:r>
    </w:p>
    <w:p>
      <w:pPr>
        <w:pStyle w:val="TextBody"/>
        <w:pBdr/>
        <w:bidi w:val="0"/>
        <w:spacing w:before="0" w:after="0"/>
        <w:ind w:left="677" w:right="0" w:hanging="324"/>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100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quarterly report on Form 10-Q for the quarterly period ended March 31, 2023 of Roth CH Acquisition IV Co.;</w:t>
            </w:r>
          </w:p>
        </w:tc>
      </w:tr>
    </w:tbl>
    <w:p>
      <w:pPr>
        <w:pStyle w:val="TextBody"/>
        <w:pBdr/>
        <w:bidi w:val="0"/>
        <w:spacing w:before="0" w:after="0"/>
        <w:ind w:left="356" w:right="0" w:hanging="324"/>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360" w:right="0" w:hanging="331"/>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356" w:right="0" w:hanging="324"/>
        <w:jc w:val="left"/>
        <w:rPr/>
      </w:pPr>
      <w:r>
        <w:rPr/>
        <w:t>​</w:t>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tc>
      </w:tr>
    </w:tbl>
    <w:p>
      <w:pPr>
        <w:pStyle w:val="TextBody"/>
        <w:bidi w:val="0"/>
        <w:spacing w:before="0" w:after="0"/>
        <w:ind w:left="6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1"/>
        <w:gridCol w:w="10051"/>
      </w:tblGrid>
      <w:tr>
        <w:trPr/>
        <w:tc>
          <w:tcPr>
            <w:tcW w:w="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5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tc>
      </w:tr>
    </w:tbl>
    <w:p>
      <w:pPr>
        <w:pStyle w:val="TextBody"/>
        <w:bidi w:val="0"/>
        <w:spacing w:before="0" w:after="0"/>
        <w:ind w:left="680" w:right="0" w:hanging="0"/>
        <w:jc w:val="left"/>
        <w:rPr/>
      </w:pPr>
      <w:r>
        <w:rPr/>
        <w:t>​</w:t>
      </w:r>
    </w:p>
    <w:tbl>
      <w:tblPr>
        <w:tblW w:w="6558" w:type="dxa"/>
        <w:jc w:val="left"/>
        <w:tblInd w:w="0" w:type="dxa"/>
        <w:tblLayout w:type="fixed"/>
        <w:tblCellMar>
          <w:top w:w="0" w:type="dxa"/>
          <w:left w:w="0" w:type="dxa"/>
          <w:bottom w:w="0" w:type="dxa"/>
          <w:right w:w="0" w:type="dxa"/>
        </w:tblCellMar>
      </w:tblPr>
      <w:tblGrid>
        <w:gridCol w:w="23"/>
        <w:gridCol w:w="185"/>
        <w:gridCol w:w="635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63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(Paragraph omitted pursuant to Exchange Act Rules 13a-14(a) and 15d-15(a));</w:t>
            </w:r>
          </w:p>
        </w:tc>
      </w:tr>
    </w:tbl>
    <w:p>
      <w:pPr>
        <w:pStyle w:val="TextBody"/>
        <w:bidi w:val="0"/>
        <w:spacing w:before="0" w:after="0"/>
        <w:ind w:left="6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p>
      <w:pPr>
        <w:pStyle w:val="TextBody"/>
        <w:bidi w:val="0"/>
        <w:spacing w:before="0" w:after="0"/>
        <w:ind w:left="6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6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6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677"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680" w:right="0" w:hanging="0"/>
        <w:jc w:val="left"/>
        <w:rPr/>
      </w:pPr>
      <w:r>
        <w:rPr/>
        <w:t>​</w:t>
      </w:r>
    </w:p>
    <w:tbl>
      <w:tblPr>
        <w:tblW w:w="5523" w:type="dxa"/>
        <w:jc w:val="center"/>
        <w:tblInd w:w="0" w:type="dxa"/>
        <w:tblLayout w:type="fixed"/>
        <w:tblCellMar>
          <w:top w:w="0" w:type="dxa"/>
          <w:left w:w="0" w:type="dxa"/>
          <w:bottom w:w="0" w:type="dxa"/>
          <w:right w:w="0" w:type="dxa"/>
        </w:tblCellMar>
      </w:tblPr>
      <w:tblGrid>
        <w:gridCol w:w="1741"/>
        <w:gridCol w:w="3782"/>
      </w:tblGrid>
      <w:tr>
        <w:trPr/>
        <w:tc>
          <w:tcPr>
            <w:tcW w:w="17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May 12, 2023</w:t>
            </w:r>
          </w:p>
        </w:tc>
        <w:tc>
          <w:tcPr>
            <w:tcW w:w="3782" w:type="dxa"/>
            <w:tcBorders/>
            <w:vAlign w:val="center"/>
          </w:tcPr>
          <w:p>
            <w:pPr>
              <w:pStyle w:val="TableContents"/>
              <w:bidi w:val="0"/>
              <w:spacing w:before="0" w:after="0"/>
              <w:ind w:left="0" w:right="0" w:hanging="0"/>
              <w:jc w:val="both"/>
              <w:rPr/>
            </w:pPr>
            <w:r>
              <w:rPr/>
              <w:t>​</w:t>
            </w:r>
          </w:p>
        </w:tc>
      </w:tr>
      <w:tr>
        <w:trPr/>
        <w:tc>
          <w:tcPr>
            <w:tcW w:w="1741" w:type="dxa"/>
            <w:tcBorders/>
            <w:vAlign w:val="center"/>
          </w:tcPr>
          <w:p>
            <w:pPr>
              <w:pStyle w:val="TableContents"/>
              <w:bidi w:val="0"/>
              <w:spacing w:before="0" w:after="0"/>
              <w:ind w:left="0" w:right="0" w:hanging="0"/>
              <w:jc w:val="both"/>
              <w:rPr/>
            </w:pPr>
            <w:r>
              <w:rPr/>
              <w:t>​</w:t>
            </w:r>
          </w:p>
        </w:tc>
        <w:tc>
          <w:tcPr>
            <w:tcW w:w="3782" w:type="dxa"/>
            <w:tcBorders/>
            <w:vAlign w:val="center"/>
          </w:tcPr>
          <w:p>
            <w:pPr>
              <w:pStyle w:val="TableContents"/>
              <w:bidi w:val="0"/>
              <w:spacing w:before="0" w:after="0"/>
              <w:ind w:left="0" w:right="0" w:hanging="0"/>
              <w:jc w:val="both"/>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78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Gordon Roth</w:t>
            </w:r>
          </w:p>
        </w:tc>
      </w:tr>
      <w:tr>
        <w:trPr/>
        <w:tc>
          <w:tcPr>
            <w:tcW w:w="1741" w:type="dxa"/>
            <w:tcBorders/>
            <w:vAlign w:val="center"/>
          </w:tcPr>
          <w:p>
            <w:pPr>
              <w:pStyle w:val="TableContents"/>
              <w:bidi w:val="0"/>
              <w:spacing w:before="0" w:after="0"/>
              <w:ind w:left="0" w:right="0" w:hanging="0"/>
              <w:jc w:val="left"/>
              <w:rPr/>
            </w:pPr>
            <w:r>
              <w:rPr/>
              <w:t>​</w:t>
            </w:r>
          </w:p>
        </w:tc>
        <w:tc>
          <w:tcPr>
            <w:tcW w:w="378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Gordon Roth</w:t>
            </w:r>
          </w:p>
        </w:tc>
      </w:tr>
      <w:tr>
        <w:trPr/>
        <w:tc>
          <w:tcPr>
            <w:tcW w:w="1741" w:type="dxa"/>
            <w:tcBorders/>
            <w:vAlign w:val="center"/>
          </w:tcPr>
          <w:p>
            <w:pPr>
              <w:pStyle w:val="TableContents"/>
              <w:bidi w:val="0"/>
              <w:spacing w:before="0" w:after="0"/>
              <w:ind w:left="0" w:right="0" w:hanging="0"/>
              <w:jc w:val="left"/>
              <w:rPr/>
            </w:pPr>
            <w:r>
              <w:rPr/>
              <w:t>​</w:t>
            </w:r>
          </w:p>
        </w:tc>
        <w:tc>
          <w:tcPr>
            <w:tcW w:w="37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41" w:type="dxa"/>
            <w:tcBorders/>
            <w:vAlign w:val="center"/>
          </w:tcPr>
          <w:p>
            <w:pPr>
              <w:pStyle w:val="TableContents"/>
              <w:bidi w:val="0"/>
              <w:spacing w:before="0" w:after="0"/>
              <w:ind w:left="0" w:right="0" w:hanging="0"/>
              <w:jc w:val="left"/>
              <w:rPr/>
            </w:pPr>
            <w:r>
              <w:rPr/>
              <w:t>​</w:t>
            </w:r>
          </w:p>
        </w:tc>
        <w:tc>
          <w:tcPr>
            <w:tcW w:w="3782" w:type="dxa"/>
            <w:tcBorders/>
            <w:vAlign w:val="center"/>
          </w:tcPr>
          <w:p>
            <w:pPr>
              <w:pStyle w:val="TableContents"/>
              <w:bidi w:val="0"/>
              <w:spacing w:before="0" w:after="0"/>
              <w:ind w:left="0" w:right="16" w:hanging="0"/>
              <w:jc w:val="left"/>
              <w:rPr>
                <w:rFonts w:ascii="Times New Roman;Times;serif" w:hAnsi="Times New Roman;Times;serif"/>
                <w:sz w:val="20"/>
              </w:rPr>
            </w:pPr>
            <w:r>
              <w:rPr>
                <w:rFonts w:ascii="Times New Roman;Times;serif" w:hAnsi="Times New Roman;Times;serif"/>
                <w:sz w:val="20"/>
              </w:rPr>
              <w:t>(Principal Accounting and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677" w:right="0" w:hanging="0"/>
        <w:jc w:val="right"/>
        <w:rPr>
          <w:rFonts w:ascii="Times New Roman;Times;serif" w:hAnsi="Times New Roman;Times;serif"/>
          <w:b/>
          <w:sz w:val="20"/>
        </w:rPr>
      </w:pPr>
      <w:bookmarkStart w:id="509" w:name="rocg-20230331xex32d1.htm"/>
      <w:bookmarkStart w:id="510" w:name="ksrocg20230331xex32d1"/>
      <w:bookmarkEnd w:id="509"/>
      <w:bookmarkEnd w:id="510"/>
      <w:r>
        <w:rPr>
          <w:rFonts w:ascii="Times New Roman;Times;serif" w:hAnsi="Times New Roman;Times;serif"/>
          <w:b/>
          <w:sz w:val="20"/>
        </w:rPr>
        <w:t>EXHIBIT 32.1</w:t>
      </w:r>
      <w:r>
        <w:br w:type="page"/>
      </w:r>
    </w:p>
    <w:p>
      <w:pPr>
        <w:pStyle w:val="TextBody"/>
        <w:bidi w:val="0"/>
        <w:spacing w:before="0" w:after="0"/>
        <w:ind w:left="677"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677"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Roth CH Acquisition IV Co. (the “Company”) on Form 10-Q for the quarterly period ended March 31, 2023, as filed with the Securities and Exchange Commission (the “Report”), I, Byron Roth, Co-Chief Executive Officer and Chairman of the Board of the Company, certify, pursuant to 18 U.S.C. §1350, as adopted pursuant to §906 of the Sarbanes-Oxley Act of 2002, that, to the best of my knowledge:</w:t>
      </w:r>
    </w:p>
    <w:p>
      <w:pPr>
        <w:pStyle w:val="TextBody"/>
        <w:bidi w:val="0"/>
        <w:spacing w:before="0" w:after="0"/>
        <w:ind w:left="677" w:right="0" w:hanging="0"/>
        <w:jc w:val="left"/>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6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677" w:right="0" w:hanging="0"/>
        <w:jc w:val="left"/>
        <w:rPr/>
      </w:pPr>
      <w:r>
        <w:rPr/>
        <w:t>​</w:t>
      </w:r>
    </w:p>
    <w:tbl>
      <w:tblPr>
        <w:tblW w:w="6452" w:type="dxa"/>
        <w:jc w:val="center"/>
        <w:tblInd w:w="0" w:type="dxa"/>
        <w:tblLayout w:type="fixed"/>
        <w:tblCellMar>
          <w:top w:w="0" w:type="dxa"/>
          <w:left w:w="0" w:type="dxa"/>
          <w:bottom w:w="0" w:type="dxa"/>
          <w:right w:w="0" w:type="dxa"/>
        </w:tblCellMar>
      </w:tblPr>
      <w:tblGrid>
        <w:gridCol w:w="1846"/>
        <w:gridCol w:w="4606"/>
      </w:tblGrid>
      <w:tr>
        <w:trPr/>
        <w:tc>
          <w:tcPr>
            <w:tcW w:w="18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 May 12, 2023</w:t>
            </w:r>
          </w:p>
        </w:tc>
        <w:tc>
          <w:tcPr>
            <w:tcW w:w="4606" w:type="dxa"/>
            <w:tcBorders/>
            <w:vAlign w:val="center"/>
          </w:tcPr>
          <w:p>
            <w:pPr>
              <w:pStyle w:val="TableContents"/>
              <w:bidi w:val="0"/>
              <w:spacing w:before="0" w:after="0"/>
              <w:ind w:left="0" w:right="0" w:hanging="0"/>
              <w:jc w:val="both"/>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60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6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Byron Roth</w:t>
            </w:r>
          </w:p>
        </w:tc>
      </w:tr>
      <w:tr>
        <w:trPr/>
        <w:tc>
          <w:tcPr>
            <w:tcW w:w="1846" w:type="dxa"/>
            <w:tcBorders/>
            <w:vAlign w:val="center"/>
          </w:tcPr>
          <w:p>
            <w:pPr>
              <w:pStyle w:val="TableContents"/>
              <w:bidi w:val="0"/>
              <w:spacing w:before="0" w:after="0"/>
              <w:ind w:left="0" w:right="0" w:hanging="0"/>
              <w:jc w:val="left"/>
              <w:rPr/>
            </w:pPr>
            <w:r>
              <w:rPr/>
              <w:t>​</w:t>
            </w:r>
          </w:p>
        </w:tc>
        <w:tc>
          <w:tcPr>
            <w:tcW w:w="46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Byron Roth</w:t>
            </w:r>
          </w:p>
        </w:tc>
      </w:tr>
      <w:tr>
        <w:trPr/>
        <w:tc>
          <w:tcPr>
            <w:tcW w:w="1846" w:type="dxa"/>
            <w:tcBorders/>
            <w:vAlign w:val="center"/>
          </w:tcPr>
          <w:p>
            <w:pPr>
              <w:pStyle w:val="TableContents"/>
              <w:bidi w:val="0"/>
              <w:spacing w:before="0" w:after="0"/>
              <w:ind w:left="0" w:right="0" w:hanging="0"/>
              <w:jc w:val="left"/>
              <w:rPr/>
            </w:pPr>
            <w:r>
              <w:rPr/>
              <w:t>​</w:t>
            </w:r>
          </w:p>
        </w:tc>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Co-Chief Executive Officer and Chairman of the Board</w:t>
            </w:r>
          </w:p>
        </w:tc>
      </w:tr>
      <w:tr>
        <w:trPr/>
        <w:tc>
          <w:tcPr>
            <w:tcW w:w="1846" w:type="dxa"/>
            <w:tcBorders/>
            <w:vAlign w:val="center"/>
          </w:tcPr>
          <w:p>
            <w:pPr>
              <w:pStyle w:val="TableContents"/>
              <w:bidi w:val="0"/>
              <w:spacing w:before="0" w:after="0"/>
              <w:ind w:left="0" w:right="0" w:hanging="0"/>
              <w:jc w:val="left"/>
              <w:rPr/>
            </w:pPr>
            <w:r>
              <w:rPr/>
              <w:t>​</w:t>
            </w:r>
          </w:p>
        </w:tc>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1286" w:right="0" w:hanging="0"/>
        <w:jc w:val="right"/>
        <w:rPr>
          <w:rFonts w:ascii="Times New Roman;Times;serif" w:hAnsi="Times New Roman;Times;serif"/>
          <w:b/>
          <w:sz w:val="20"/>
        </w:rPr>
      </w:pPr>
      <w:bookmarkStart w:id="511" w:name="rocg-20230331xex32d2.htm"/>
      <w:bookmarkStart w:id="512" w:name="ksrocg20230331xex32d2"/>
      <w:bookmarkEnd w:id="511"/>
      <w:bookmarkEnd w:id="512"/>
      <w:r>
        <w:rPr>
          <w:rFonts w:ascii="Times New Roman;Times;serif" w:hAnsi="Times New Roman;Times;serif"/>
          <w:b/>
          <w:sz w:val="20"/>
        </w:rPr>
        <w:t>EXHIBIT 32.2</w:t>
      </w:r>
      <w:r>
        <w:br w:type="page"/>
      </w:r>
    </w:p>
    <w:p>
      <w:pPr>
        <w:pStyle w:val="TextBody"/>
        <w:bidi w:val="0"/>
        <w:spacing w:before="0" w:after="0"/>
        <w:ind w:left="677"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677"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Roth CH Acquisition IV Co. (the “Company”) on Form 10-Q for the quarterly period ended March 31, 2023, as filed with the Securities and Exchange Commission (the “Report”), I, Gordon Roth, Chief Financial Officer of the Company, certify, pursuant to 18 U.S.C. §1350, as adopted pursuant to §906 of the Sarbanes-Oxley Act of 2002, that, to the best of my knowledge:</w:t>
      </w:r>
    </w:p>
    <w:p>
      <w:pPr>
        <w:pStyle w:val="TextBody"/>
        <w:bidi w:val="0"/>
        <w:spacing w:before="0" w:after="0"/>
        <w:ind w:left="677" w:right="0" w:hanging="0"/>
        <w:jc w:val="left"/>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677" w:right="0" w:hanging="0"/>
        <w:jc w:val="left"/>
        <w:rPr/>
      </w:pPr>
      <w:r>
        <w:rPr/>
        <w:t>​</w:t>
      </w:r>
    </w:p>
    <w:tbl>
      <w:tblPr>
        <w:tblW w:w="5612" w:type="dxa"/>
        <w:jc w:val="center"/>
        <w:tblInd w:w="0" w:type="dxa"/>
        <w:tblLayout w:type="fixed"/>
        <w:tblCellMar>
          <w:top w:w="0" w:type="dxa"/>
          <w:left w:w="0" w:type="dxa"/>
          <w:bottom w:w="0" w:type="dxa"/>
          <w:right w:w="0" w:type="dxa"/>
        </w:tblCellMar>
      </w:tblPr>
      <w:tblGrid>
        <w:gridCol w:w="1846"/>
        <w:gridCol w:w="3766"/>
      </w:tblGrid>
      <w:tr>
        <w:trPr/>
        <w:tc>
          <w:tcPr>
            <w:tcW w:w="18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 May 12, 2023</w:t>
            </w:r>
          </w:p>
        </w:tc>
        <w:tc>
          <w:tcPr>
            <w:tcW w:w="3766" w:type="dxa"/>
            <w:tcBorders/>
            <w:vAlign w:val="center"/>
          </w:tcPr>
          <w:p>
            <w:pPr>
              <w:pStyle w:val="TableContents"/>
              <w:bidi w:val="0"/>
              <w:spacing w:before="0" w:after="0"/>
              <w:ind w:left="0" w:right="0" w:hanging="0"/>
              <w:jc w:val="both"/>
              <w:rPr/>
            </w:pPr>
            <w:r>
              <w:rPr/>
              <w:t>​</w:t>
            </w:r>
          </w:p>
        </w:tc>
      </w:tr>
      <w:tr>
        <w:trPr/>
        <w:tc>
          <w:tcPr>
            <w:tcW w:w="1846" w:type="dxa"/>
            <w:tcBorders/>
            <w:vAlign w:val="center"/>
          </w:tcPr>
          <w:p>
            <w:pPr>
              <w:pStyle w:val="TableContents"/>
              <w:bidi w:val="0"/>
              <w:spacing w:before="0" w:after="0"/>
              <w:ind w:left="0" w:right="0" w:hanging="0"/>
              <w:jc w:val="both"/>
              <w:rPr/>
            </w:pPr>
            <w:r>
              <w:rPr/>
              <w:t>​</w:t>
            </w:r>
          </w:p>
        </w:tc>
        <w:tc>
          <w:tcPr>
            <w:tcW w:w="3766" w:type="dxa"/>
            <w:tcBorders/>
            <w:vAlign w:val="center"/>
          </w:tcPr>
          <w:p>
            <w:pPr>
              <w:pStyle w:val="TableContents"/>
              <w:bidi w:val="0"/>
              <w:spacing w:before="0" w:after="0"/>
              <w:ind w:left="0" w:right="0" w:hanging="0"/>
              <w:jc w:val="both"/>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Gordon Roth</w:t>
            </w:r>
          </w:p>
        </w:tc>
      </w:tr>
      <w:tr>
        <w:trPr/>
        <w:tc>
          <w:tcPr>
            <w:tcW w:w="184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Gordon Roth</w:t>
            </w:r>
          </w:p>
        </w:tc>
      </w:tr>
      <w:tr>
        <w:trPr/>
        <w:tc>
          <w:tcPr>
            <w:tcW w:w="18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and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19130</Words>
  <Characters>104595</Characters>
  <CharactersWithSpaces>123910</CharactersWithSpaces>
  <Paragraphs>1931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