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Conley Joan 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600"/>
        <w:spacing w:after="0" w:line="365" w:lineRule="auto"/>
        <w:rPr>
          <w:sz w:val="20"/>
          <w:szCs w:val="20"/>
          <w:color w:val="auto"/>
        </w:rPr>
      </w:pPr>
      <w:r>
        <w:rPr>
          <w:rFonts w:ascii="Times New Roman" w:cs="Times New Roman" w:eastAsia="Times New Roman" w:hAnsi="Times New Roman"/>
          <w:sz w:val="17"/>
          <w:szCs w:val="17"/>
          <w:color w:val="0000FF"/>
        </w:rPr>
        <w:t>655 CAMPBELL TECHNOLOGY PKWY, STE 150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CAMPBELL</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95008</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TIGO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TYGO</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82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800" w:type="dxa"/>
            <w:vAlign w:val="bottom"/>
            <w:tcBorders>
              <w:bottom w:val="single" w:sz="8" w:color="0000EE"/>
            </w:tcBorders>
          </w:tcPr>
          <w:p>
            <w:pPr>
              <w:spacing w:after="0"/>
              <w:rPr>
                <w:sz w:val="3"/>
                <w:szCs w:val="3"/>
                <w:color w:val="auto"/>
              </w:rPr>
            </w:pPr>
          </w:p>
        </w:tc>
        <w:tc>
          <w:tcPr>
            <w:tcW w:w="18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800" w:type="dxa"/>
            <w:vAlign w:val="bottom"/>
            <w:tcBorders>
              <w:bottom w:val="single" w:sz="8" w:color="2C2C2C"/>
            </w:tcBorders>
          </w:tcPr>
          <w:p>
            <w:pPr>
              <w:spacing w:after="0"/>
              <w:rPr>
                <w:sz w:val="11"/>
                <w:szCs w:val="11"/>
                <w:color w:val="auto"/>
              </w:rPr>
            </w:pPr>
          </w:p>
        </w:tc>
        <w:tc>
          <w:tcPr>
            <w:tcW w:w="182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0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05/21/2024</w:t>
            </w:r>
          </w:p>
        </w:tc>
        <w:tc>
          <w:tcPr>
            <w:tcW w:w="1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800" w:type="dxa"/>
            <w:vAlign w:val="bottom"/>
            <w:tcBorders>
              <w:bottom w:val="single" w:sz="8" w:color="2C2C2C"/>
            </w:tcBorders>
          </w:tcPr>
          <w:p>
            <w:pPr>
              <w:spacing w:after="0"/>
              <w:rPr>
                <w:sz w:val="8"/>
                <w:szCs w:val="8"/>
                <w:color w:val="auto"/>
              </w:rPr>
            </w:pPr>
          </w:p>
        </w:tc>
        <w:tc>
          <w:tcPr>
            <w:tcW w:w="182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60" w:type="dxa"/>
            <w:vAlign w:val="bottom"/>
            <w:gridSpan w:val="2"/>
          </w:tcPr>
          <w:p>
            <w:pPr>
              <w:ind w:left="5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2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6"/>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60" w:type="dxa"/>
            <w:vAlign w:val="bottom"/>
            <w:gridSpan w:val="2"/>
          </w:tcPr>
          <w:p>
            <w:pPr>
              <w:ind w:left="5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4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8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60" w:type="dxa"/>
            <w:vAlign w:val="bottom"/>
            <w:tcBorders>
              <w:bottom w:val="single" w:sz="8" w:color="2C2C2C"/>
            </w:tcBorders>
            <w:gridSpan w:val="2"/>
          </w:tcPr>
          <w:p>
            <w:pPr>
              <w:ind w:left="620"/>
              <w:spacing w:after="0"/>
              <w:rPr>
                <w:sz w:val="20"/>
                <w:szCs w:val="20"/>
                <w:color w:val="auto"/>
              </w:rPr>
            </w:pPr>
            <w:r>
              <w:rPr>
                <w:rFonts w:ascii="Times New Roman" w:cs="Times New Roman" w:eastAsia="Times New Roman" w:hAnsi="Times New Roman"/>
                <w:sz w:val="17"/>
                <w:szCs w:val="17"/>
                <w:color w:val="0000FF"/>
              </w:rPr>
              <w:t>05/21/2024</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80" w:type="dxa"/>
            <w:vAlign w:val="bottom"/>
            <w:tcBorders>
              <w:bottom w:val="single" w:sz="8" w:color="2C2C2C"/>
            </w:tcBorders>
          </w:tcPr>
          <w:p>
            <w:pPr>
              <w:ind w:left="80"/>
              <w:spacing w:after="0"/>
              <w:rPr>
                <w:sz w:val="20"/>
                <w:szCs w:val="20"/>
                <w:color w:val="auto"/>
              </w:rPr>
            </w:pPr>
            <w:r>
              <w:rPr>
                <w:rFonts w:ascii="Times New Roman" w:cs="Times New Roman" w:eastAsia="Times New Roman" w:hAnsi="Times New Roman"/>
                <w:sz w:val="17"/>
                <w:szCs w:val="17"/>
                <w:color w:val="0000FF"/>
                <w:w w:val="93"/>
              </w:rPr>
              <w:t>101,626</w:t>
            </w:r>
            <w:r>
              <w:rPr>
                <w:rFonts w:ascii="Times New Roman" w:cs="Times New Roman" w:eastAsia="Times New Roman" w:hAnsi="Times New Roman"/>
                <w:sz w:val="22"/>
                <w:szCs w:val="22"/>
                <w:color w:val="008000"/>
                <w:w w:val="93"/>
                <w:vertAlign w:val="superscript"/>
              </w:rPr>
              <w:t>(1)</w:t>
            </w:r>
          </w:p>
        </w:tc>
        <w:tc>
          <w:tcPr>
            <w:tcW w:w="40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gridSpan w:val="3"/>
          </w:tcPr>
          <w:p>
            <w:pPr>
              <w:jc w:val="right"/>
              <w:ind w:righ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0.00</w:t>
            </w:r>
          </w:p>
        </w:tc>
        <w:tc>
          <w:tcPr>
            <w:tcW w:w="1200" w:type="dxa"/>
            <w:vAlign w:val="bottom"/>
            <w:tcBorders>
              <w:bottom w:val="single" w:sz="8" w:color="2C2C2C"/>
            </w:tcBorders>
            <w:gridSpan w:val="2"/>
          </w:tcPr>
          <w:p>
            <w:pPr>
              <w:ind w:left="220"/>
              <w:spacing w:after="0"/>
              <w:rPr>
                <w:sz w:val="20"/>
                <w:szCs w:val="20"/>
                <w:color w:val="auto"/>
              </w:rPr>
            </w:pPr>
            <w:r>
              <w:rPr>
                <w:rFonts w:ascii="Times New Roman" w:cs="Times New Roman" w:eastAsia="Times New Roman" w:hAnsi="Times New Roman"/>
                <w:sz w:val="17"/>
                <w:szCs w:val="17"/>
                <w:color w:val="0000FF"/>
              </w:rPr>
              <w:t>117,930</w:t>
            </w:r>
            <w:r>
              <w:rPr>
                <w:rFonts w:ascii="Times New Roman" w:cs="Times New Roman" w:eastAsia="Times New Roman" w:hAnsi="Times New Roman"/>
                <w:sz w:val="22"/>
                <w:szCs w:val="22"/>
                <w:color w:val="008000"/>
                <w:vertAlign w:val="superscript"/>
              </w:rPr>
              <w:t>(2)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80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80" w:type="dxa"/>
            <w:vAlign w:val="bottom"/>
            <w:gridSpan w:val="2"/>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0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4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0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shares of common stock, par value $0.0001 per share ("Common Stock"), underlying restricted stock units ("RSUs") granted to the reporting person on May 21, 2024 pursuant to the Issuer's 2023 Incentive Plan. The RSUs will vest in full, and an equal number of shares of Common Stock will be deliverable to the reporting person, immediately prior to the Issuer's 2025 Annual Meeting of Stockholders, subject to continued service through such vesting date.</w:t>
      </w:r>
    </w:p>
    <w:p>
      <w:pPr>
        <w:spacing w:after="0" w:line="20" w:lineRule="exact"/>
        <w:rPr>
          <w:rFonts w:ascii="Times New Roman" w:cs="Times New Roman" w:eastAsia="Times New Roman" w:hAnsi="Times New Roman"/>
          <w:sz w:val="13"/>
          <w:szCs w:val="13"/>
          <w:color w:val="008000"/>
        </w:rPr>
      </w:pPr>
    </w:p>
    <w:p>
      <w:pPr>
        <w:ind w:left="40" w:right="3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16,304 shares of Common Stock, underlying RSUs granted to the reporting person on August 11, 2023 (the "Grant Date") pursuant to the Issuer's 2023 Incentive Plan. The RSUs will vest in full, and an equal number of shares of Common Stock will be deliverable to the reporting person, on the first anniversary of the Grant Date, subject to continued service through such vesting date.</w:t>
      </w:r>
    </w:p>
    <w:p>
      <w:pPr>
        <w:spacing w:after="0" w:line="25"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Bill Roeschlein, as</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05/22/2024</w:t>
            </w: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56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1520" w:type="dxa"/>
            <w:vAlign w:val="bottom"/>
            <w:tcBorders>
              <w:top w:val="single" w:sz="8" w:color="auto"/>
            </w:tcBorders>
            <w:gridSpan w:val="2"/>
            <w:vMerge w:val="continue"/>
          </w:tcPr>
          <w:p>
            <w:pPr>
              <w:spacing w:after="0"/>
              <w:rPr>
                <w:sz w:val="7"/>
                <w:szCs w:val="7"/>
                <w:color w:val="auto"/>
              </w:rPr>
            </w:pPr>
          </w:p>
        </w:tc>
        <w:tc>
          <w:tcPr>
            <w:tcW w:w="56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080" w:type="dxa"/>
            <w:vAlign w:val="bottom"/>
            <w:shd w:val="clear" w:color="auto" w:fill="000000"/>
          </w:tcPr>
          <w:p>
            <w:pPr>
              <w:spacing w:after="0" w:line="20" w:lineRule="exact"/>
              <w:rPr>
                <w:sz w:val="1"/>
                <w:szCs w:val="1"/>
                <w:color w:val="auto"/>
              </w:rPr>
            </w:pPr>
          </w:p>
        </w:tc>
        <w:tc>
          <w:tcPr>
            <w:tcW w:w="100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46983" TargetMode="External"/><Relationship Id="rId13" Type="http://schemas.openxmlformats.org/officeDocument/2006/relationships/hyperlink" Target="http://www.sec.gov/cgi-bin/browse-edgar?action=getcompany&amp;CIK=000185544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2024-05-22T19:44:51Z</dcterms:created>
  <dcterms:modified xsi:type="dcterms:W3CDTF">2024-05-22T19:44:51Z</dcterms:modified>
</cp:coreProperties>
</file>