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Chang Yahui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23,463</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239,497</w:t>
            </w:r>
            <w:r>
              <w:rPr>
                <w:rFonts w:ascii="Times;serif" w:hAnsi="Times;serif"/>
                <w:color w:val="008000"/>
                <w:position w:val="7"/>
                <w:sz w:val="16"/>
                <w:sz w:val="20"/>
                <w:shd w:fill="FFFFFF" w:val="clear"/>
              </w:rPr>
              <w:t>(2)(3)(4)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48,000 shares of Common Stock underlying unvested RSUs granted to the reporting person on November 11, 2024 (the "November 2024 Grant Date"), 52,099 shares of Common Stock underlying RSUs granted to the reporting person on August 1, 2025 (the "August 2025 Grant Date"), and 62,700 shares of Common Stock underlying RSUs granted to the reporting person on August 7, 2026 (the "August 2026 Grant Date"), in each case, pursuant to the Issuer's 2023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the November 2024 Grant Date vested and an equal number of shares of Common Stock were delivered to the reporting person on each of October 8, 2025, and October 7, 2026. One-third (1/3) of the RSUs subject to the grant shall vest, and an equal number of shares of Common Stock will be deliverable to the reporting person, on the third anniversary of October 7, 2024,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(Continuation of the Footnote (2)) One-Third (1/3) of the RSUs granted to the reporting person on the August 2025 Grant Date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 One-Third (1/3) of the RSUs granted to the reporting person on the August 2026 Grant Date shall vest, and an equal number of shares of Common Stock will be deliverable to the reporting person, on each of the first three anniversaries of the August 2026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6736"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927</Words>
  <Characters>4879</Characters>
  <CharactersWithSpaces>5736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