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30930.htm"/>
      <w:bookmarkStart w:id="1" w:name="kstygo202309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_____ to _____</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bidi w:val="0"/>
        <w:jc w:val="center"/>
        <w:rPr>
          <w:rFonts w:ascii="Times New Roman" w:hAnsi="Times New Roman"/>
          <w:b/>
          <w:color w:val="000000"/>
          <w:sz w:val="48"/>
        </w:rPr>
      </w:pPr>
      <w:r>
        <w:rPr>
          <w:rFonts w:ascii="Times New Roman" w:hAnsi="Times New Roman"/>
          <w:b/>
          <w:color w:val="000000"/>
          <w:sz w:val="48"/>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282" w:type="dxa"/>
        <w:jc w:val="left"/>
        <w:tblInd w:w="0" w:type="dxa"/>
        <w:tblLayout w:type="fixed"/>
        <w:tblCellMar>
          <w:top w:w="28" w:type="dxa"/>
          <w:left w:w="28" w:type="dxa"/>
          <w:bottom w:w="28" w:type="dxa"/>
          <w:right w:w="28" w:type="dxa"/>
        </w:tblCellMar>
      </w:tblPr>
      <w:tblGrid>
        <w:gridCol w:w="4036"/>
        <w:gridCol w:w="1246"/>
      </w:tblGrid>
      <w:tr>
        <w:trPr/>
        <w:tc>
          <w:tcPr>
            <w:tcW w:w="40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4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655 Campbell Technology Parkway, Suite 150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Campbell,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95008</w:t>
            </w:r>
          </w:p>
        </w:tc>
      </w:tr>
      <w:tr>
        <w:trPr/>
        <w:tc>
          <w:tcPr>
            <w:tcW w:w="4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(408) 402-0802</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vAlign w:val="center"/>
          </w:tcPr>
          <w:p>
            <w:pPr>
              <w:pStyle w:val="TableContents"/>
              <w:bidi w:val="0"/>
              <w:spacing w:before="0" w:after="283"/>
              <w:jc w:val="left"/>
              <w:rPr/>
            </w:pPr>
            <w:r>
              <w:rPr/>
              <w:t> </w:t>
            </w:r>
          </w:p>
        </w:tc>
        <w:tc>
          <w:tcPr>
            <w:tcW w:w="3316" w:type="dxa"/>
            <w:tcBorders/>
            <w:shd w:fill="CFF0FC"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2056"/>
        <w:gridCol w:w="109"/>
        <w:gridCol w:w="316"/>
        <w:gridCol w:w="109"/>
        <w:gridCol w:w="2026"/>
        <w:gridCol w:w="10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As of November 3, 2023, the registrant had 58,735,987</w:t>
      </w:r>
      <w:r>
        <w:rPr>
          <w:rFonts w:ascii="Times New Roman" w:hAnsi="Times New Roman"/>
          <w:color w:val="000000"/>
          <w:sz w:val="20"/>
        </w:rPr>
        <w:t xml:space="preserve"> </w:t>
      </w:r>
      <w:r>
        <w:rPr>
          <w:rFonts w:ascii="Times New Roman" w:hAnsi="Times New Roman"/>
          <w:b w:val="false"/>
          <w:color w:val="000000"/>
          <w:sz w:val="18"/>
        </w:rPr>
        <w:t>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 AND RISK FACTORS SUMMARY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These forward-looking statements are generally related to our strategies or plans and expectations for future operations and are based upon management’s current estimates and projections of future results or trends. Although we believe that our plans and objectives reflected in or suggested by these forward-looking statements are reasonable, we may not achieve these plans or objectives.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forward-looking statements contained in this Quarterly Report on Form 10-Q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the following, which also serves as a summary of the principal risks of an investment in our securities: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Risks Related to Our Business and Industry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we are unable to achieve adequate revenue growth while our expenses increase, we may not achieve or maintain profitability in the future.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Demand for our solar energy solutions may not grow or may grow at a slower rate than we anticipate.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Developments in alternative technologies or improvements in other forms of distributed solar energy generation may have a material adverse effect on demand for our offerings.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solar industry has historically been cyclical and experienced periodic downturns, including the current downturn.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MLPEs may not achieve broader market acceptance.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anticipate substantial growth in revenue from our Energy Intelligence solution (“EI Solution”). Should a market fail to develop for our EI solution, our actual operating results may differ materially from the forecasted results.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Risks Related to Legal, Compliance and Regulations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business could be harmed by a reduction, elimination or expiration of government subsidies and economic incentives for on-grid solar electricity applications.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management has limited experience in operating a public company.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significant international operations subject us to additional risks compared to those of domestic companies, including trade tariffs or other trade barriers, and the interpretation and enforcement of laws and regulations in various jurisdictions.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Current or future litigation or administrative proceedings could have a material adverse effect on our business, financial condition and results of operations.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Operating Risks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financial condition and results of operations and other key metrics are likely to be affected by seasonal trends and construction cycles.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Defects, recalls, or performance problems in our products or delays, disruptions, or quality control problems in our manufacturing operations could result in loss of customers, reputational damage, and decreased revenue, and we may be the subject of numerous claims, including warranty, indemnity, and product liability claims arising from defective products.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our estimates of useful life for our energy storage systems and related hardware and software-enabled services are inaccurate, our business and financial results could be adversely affected.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expect to incur research and development costs and devote resources to identifying and commercializing new products and services, which may never result in revenue to us.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loss of one or more of our major customers could have an adverse effect on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hardware and software-enabled services involve a lengthy sales and installation cycle, and if we fail to close sales on a regular and timely basis it could adversely affect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growth of our business depends on customers renewing their monitoring services subscriptions.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Competition Risks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rapidly evolving and competitive nature of the solar industry makes it difficult to evaluate our future prospects.</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Risks Related to Intellectual Property and Technology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patent applications may not result in issued patents, and our issued patents may not provide adequate protection.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Our failure to protect our intellectual property rights may undermine our competitive position, and litigation to protect our intellectual property rights may be costly.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Any unauthorized access to, disclosure, or theft of personal information we gather, store, or use could harm our reputation and subject us to claims or litigation.</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Risks Related to Our Financial Condition and Liquidity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are under continuous pressure to reduce the prices of our products, which has adversely affected, and may continue to adversely affect, our gross margins.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Risks Related to the Ownership of Our Securities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price of our Common Stock may be volatile.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We may be subject to securities litigation, which is expensive and could divert management’s attention.</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Company may not be able to comply with the continued listing standards of Nasdaq, which could limit investors’ ability to make transactions in the Company’s securities and subject the Company to additional trading restrictions.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Future sales, or the perception of future sales, of our Common Stock by us or our existing stockholders in the public market could cause the market price for our common stock to decline.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The other factors described in Part II, Item 1A to this Quarterly Report on Form 10-Q.</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80"/>
        <w:gridCol w:w="8184"/>
        <w:gridCol w:w="1341"/>
      </w:tblGrid>
      <w:tr>
        <w:trPr/>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8184" w:type="dxa"/>
            <w:tcBorders/>
            <w:shd w:fill="FFFFFF" w:val="clear"/>
            <w:vAlign w:val="center"/>
          </w:tcPr>
          <w:p>
            <w:pPr>
              <w:pStyle w:val="TableContents"/>
              <w:bidi w:val="0"/>
              <w:spacing w:before="0" w:after="283"/>
              <w:jc w:val="left"/>
              <w:rPr>
                <w:sz w:val="4"/>
                <w:szCs w:val="4"/>
              </w:rPr>
            </w:pPr>
            <w:r>
              <w:rPr>
                <w:sz w:val="4"/>
                <w:szCs w:val="4"/>
              </w:rPr>
            </w:r>
          </w:p>
        </w:tc>
        <w:tc>
          <w:tcPr>
            <w:tcW w:w="1341" w:type="dxa"/>
            <w:tcBorders/>
            <w:shd w:fill="FFFFFF" w:val="clear"/>
            <w:vAlign w:val="center"/>
          </w:tcPr>
          <w:p>
            <w:pPr>
              <w:pStyle w:val="TableContents"/>
              <w:bidi w:val="0"/>
              <w:spacing w:before="0" w:after="283"/>
              <w:jc w:val="left"/>
              <w:rPr>
                <w:sz w:val="4"/>
                <w:szCs w:val="4"/>
              </w:rPr>
            </w:pPr>
            <w:r>
              <w:rPr>
                <w:sz w:val="4"/>
                <w:szCs w:val="4"/>
              </w:rPr>
            </w:r>
          </w:p>
        </w:tc>
      </w:tr>
      <w:tr>
        <w:trPr/>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81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FINANCIAL INFORMATION</w:t>
            </w:r>
          </w:p>
        </w:tc>
        <w:tc>
          <w:tcPr>
            <w:tcW w:w="13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1.</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1_financial_statements_unaudited">
              <w:r>
                <w:rPr>
                  <w:rStyle w:val="InternetLink"/>
                  <w:rFonts w:ascii="Times New Roman" w:hAnsi="Times New Roman"/>
                  <w:b w:val="false"/>
                  <w:color w:val="0000FF"/>
                  <w:sz w:val="20"/>
                  <w:u w:val="single"/>
                </w:rPr>
                <w:t>Financial Statements (Unaudited)</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 as of September 30, 2023, and December 31, 2022</w:t>
              </w:r>
            </w:hyperlink>
            <w:hyperlink w:anchor="condensed_consolidated_balance_sheets">
              <w:r>
                <w:rPr>
                  <w:rStyle w:val="InternetLink"/>
                  <w:rFonts w:ascii="Times New Roman" w:hAnsi="Times New Roman"/>
                  <w:color w:val="0000FF"/>
                  <w:sz w:val="20"/>
                </w:rPr>
                <w:t xml:space="preserve"> </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left"/>
              <w:rPr/>
            </w:pPr>
            <w:hyperlink w:anchor="condensed_stmt_of_ops_and_comp_income">
              <w:r>
                <w:rPr>
                  <w:rStyle w:val="InternetLink"/>
                  <w:rFonts w:ascii="Times New Roman" w:hAnsi="Times New Roman"/>
                  <w:b w:val="false"/>
                  <w:color w:val="0000FF"/>
                  <w:sz w:val="20"/>
                  <w:u w:val="single"/>
                </w:rPr>
                <w:t>Condensed Consolidated Statements of Operations and Comprehensive Income (Loss) for the Three and Nine Months ended September 30, 2023, and 2022</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left"/>
              <w:rPr>
                <w:rFonts w:ascii="Times New Roman" w:hAnsi="Times New Roman"/>
                <w:b w:val="false"/>
                <w:color w:val="0000FF"/>
                <w:sz w:val="20"/>
                <w:u w:val="single"/>
              </w:rPr>
            </w:pPr>
            <w:r>
              <w:rPr>
                <w:rFonts w:ascii="Times New Roman" w:hAnsi="Times New Roman"/>
                <w:b w:val="false"/>
                <w:color w:val="0000FF"/>
                <w:sz w:val="20"/>
                <w:u w:val="single"/>
              </w:rPr>
              <w:t>Condensed Consolidated Statements of Convertible Preferred Stock and Stockholders’ Equity (Deficit) for the Three and Nine Months ended September 30, 2023, and 2022</w:t>
            </w:r>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left"/>
              <w:rPr/>
            </w:pPr>
            <w:hyperlink w:anchor="condensed_consolidated_stmt_of_cash_flow">
              <w:r>
                <w:rPr>
                  <w:rStyle w:val="InternetLink"/>
                  <w:rFonts w:ascii="Times New Roman" w:hAnsi="Times New Roman"/>
                  <w:b w:val="false"/>
                  <w:color w:val="0000FF"/>
                  <w:sz w:val="20"/>
                  <w:u w:val="single"/>
                </w:rPr>
                <w:t>Condensed Consolidated Statements of Cash Flows for the Nine Months ended September 30, 2023, and 2022</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left"/>
              <w:rPr/>
            </w:pPr>
            <w:hyperlink w:anchor="notes_to_consolidated_condensed_fin_stmt">
              <w:r>
                <w:rPr>
                  <w:rStyle w:val="InternetLink"/>
                  <w:rFonts w:ascii="Times New Roman" w:hAnsi="Times New Roman"/>
                  <w:b w:val="false"/>
                  <w:color w:val="0000FF"/>
                  <w:sz w:val="20"/>
                  <w:u w:val="single"/>
                </w:rPr>
                <w:t>Notes to Condensed Consolidated Financial Statements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2.</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2_mda">
              <w:r>
                <w:rPr>
                  <w:rStyle w:val="InternetLink"/>
                  <w:rFonts w:ascii="Times New Roman" w:hAnsi="Times New Roman"/>
                  <w:b w:val="false"/>
                  <w:color w:val="0000FF"/>
                  <w:sz w:val="20"/>
                  <w:u w:val="single"/>
                </w:rPr>
                <w:t>Management's Discussion and Analysis of Financial Condition and Results of Operations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3.</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3_quantitative_and_qualitative">
              <w:r>
                <w:rPr>
                  <w:rStyle w:val="InternetLink"/>
                  <w:rFonts w:ascii="Times New Roman" w:hAnsi="Times New Roman"/>
                  <w:b w:val="false"/>
                  <w:color w:val="0000FF"/>
                  <w:sz w:val="20"/>
                  <w:u w:val="single"/>
                </w:rPr>
                <w:t>Quantitative and Qualitative Disclosures about Market Risk</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4.</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4_controls_and_procedures">
              <w:r>
                <w:rPr>
                  <w:rStyle w:val="InternetLink"/>
                  <w:rFonts w:ascii="Times New Roman" w:hAnsi="Times New Roman"/>
                  <w:b w:val="false"/>
                  <w:color w:val="0000FF"/>
                  <w:sz w:val="20"/>
                  <w:u w:val="single"/>
                </w:rPr>
                <w:t>Controls and Procedures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r>
      <w:tr>
        <w:trPr/>
        <w:tc>
          <w:tcPr>
            <w:tcW w:w="680" w:type="dxa"/>
            <w:tcBorders/>
            <w:vAlign w:val="center"/>
          </w:tcPr>
          <w:p>
            <w:pPr>
              <w:pStyle w:val="TableContents"/>
              <w:bidi w:val="0"/>
              <w:spacing w:before="0" w:after="283"/>
              <w:jc w:val="left"/>
              <w:rPr/>
            </w:pPr>
            <w:r>
              <w:rPr/>
              <w:t> </w:t>
            </w:r>
          </w:p>
        </w:tc>
        <w:tc>
          <w:tcPr>
            <w:tcW w:w="8184"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OTHER INFORMATION</w:t>
            </w:r>
          </w:p>
        </w:tc>
        <w:tc>
          <w:tcPr>
            <w:tcW w:w="13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1.</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1A.</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68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184" w:type="dxa"/>
            <w:tcBorders/>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000FF"/>
                  <w:sz w:val="20"/>
                  <w:u w:val="single"/>
                </w:rPr>
                <w:t>Unregistered Sales of Equity Securities and Use of Proceeds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3.</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tem_3_defaults_upon_senior_securities">
              <w:r>
                <w:rPr>
                  <w:rStyle w:val="InternetLink"/>
                  <w:rFonts w:ascii="Times New Roman" w:hAnsi="Times New Roman"/>
                  <w:b w:val="false"/>
                  <w:color w:val="0000FF"/>
                  <w:sz w:val="20"/>
                  <w:u w:val="single"/>
                </w:rPr>
                <w:t>Defaults Upon Senior Securities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4.</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5.</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5_other_information">
              <w:r>
                <w:rPr>
                  <w:rStyle w:val="InternetLink"/>
                  <w:rFonts w:ascii="Times New Roman" w:hAnsi="Times New Roman"/>
                  <w:b w:val="false"/>
                  <w:color w:val="0000FF"/>
                  <w:sz w:val="20"/>
                  <w:u w:val="single"/>
                </w:rPr>
                <w:t>Other Information</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r>
      <w:tr>
        <w:trPr/>
        <w:tc>
          <w:tcPr>
            <w:tcW w:w="680"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Item 6.</w:t>
            </w:r>
            <w:r>
              <w:rPr>
                <w:rFonts w:ascii="Times New Roman" w:hAnsi="Times New Roman"/>
                <w:color w:val="000000"/>
                <w:sz w:val="20"/>
              </w:rPr>
              <w:t xml:space="preserve"> </w:t>
            </w:r>
          </w:p>
        </w:tc>
        <w:tc>
          <w:tcPr>
            <w:tcW w:w="8184"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341" w:type="dxa"/>
            <w:tcBorders/>
            <w:tcMar>
              <w:top w:w="0" w:type="dxa"/>
              <w:left w:w="0" w:type="dxa"/>
              <w:bottom w:w="0" w:type="dxa"/>
              <w:right w:w="0" w:type="dxa"/>
            </w:tcMar>
            <w:vAlign w:val="center"/>
          </w:tcPr>
          <w:p>
            <w:pPr>
              <w:pStyle w:val="TableContents"/>
              <w:bidi w:val="0"/>
              <w:spacing w:before="0" w:after="283"/>
              <w:ind w:left="0" w:right="0" w:firstLine="979"/>
              <w:jc w:val="right"/>
              <w:rPr>
                <w:rFonts w:ascii="Times New Roman" w:hAnsi="Times New Roman"/>
                <w:b w:val="false"/>
                <w:color w:val="000000"/>
                <w:sz w:val="20"/>
              </w:rPr>
            </w:pPr>
            <w:r>
              <w:rPr>
                <w:rFonts w:ascii="Times New Roman" w:hAnsi="Times New Roman"/>
                <w:b w:val="false"/>
                <w:color w:val="000000"/>
                <w:sz w:val="20"/>
              </w:rPr>
              <w:t>69</w:t>
            </w:r>
          </w:p>
        </w:tc>
      </w:tr>
      <w:tr>
        <w:trPr/>
        <w:tc>
          <w:tcPr>
            <w:tcW w:w="8864" w:type="dxa"/>
            <w:gridSpan w:val="2"/>
            <w:tcBorders/>
            <w:vAlign w:val="center"/>
          </w:tcPr>
          <w:p>
            <w:pPr>
              <w:pStyle w:val="TableContents"/>
              <w:bidi w:val="0"/>
              <w:spacing w:before="0" w:after="283"/>
              <w:ind w:left="979" w:right="0" w:firstLine="979"/>
              <w:jc w:val="left"/>
              <w:rPr/>
            </w:pPr>
            <w:hyperlink w:anchor="signatures">
              <w:r>
                <w:rPr>
                  <w:rStyle w:val="InternetLink"/>
                  <w:rFonts w:ascii="Times New Roman" w:hAnsi="Times New Roman"/>
                  <w:b w:val="false"/>
                  <w:color w:val="0000FF"/>
                  <w:sz w:val="20"/>
                  <w:u w:val="single"/>
                </w:rPr>
                <w:t>Signatures</w:t>
              </w:r>
            </w:hyperlink>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PART I. FINANCIAL INFORMATION</w:t>
      </w:r>
    </w:p>
    <w:p>
      <w:pPr>
        <w:pStyle w:val="TextBody"/>
        <w:bidi w:val="0"/>
        <w:jc w:val="left"/>
        <w:rPr>
          <w:rFonts w:ascii="Times New Roman" w:hAnsi="Times New Roman"/>
          <w:b/>
          <w:i/>
          <w:color w:val="000000"/>
          <w:sz w:val="16"/>
        </w:rPr>
      </w:pPr>
      <w:bookmarkStart w:id="2" w:name="item_1_financial_statements_unaudited"/>
      <w:bookmarkEnd w:id="2"/>
      <w:r>
        <w:rPr>
          <w:rFonts w:ascii="Times New Roman" w:hAnsi="Times New Roman"/>
          <w:b/>
          <w:i/>
          <w:color w:val="000000"/>
          <w:sz w:val="16"/>
        </w:rPr>
        <w:t>Item 1. Financial Statements</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TIGO ENERGY, INC.</w:t>
      </w:r>
    </w:p>
    <w:p>
      <w:pPr>
        <w:pStyle w:val="TextBody"/>
        <w:bidi w:val="0"/>
        <w:jc w:val="center"/>
        <w:rPr>
          <w:rFonts w:ascii="Times New Roman" w:hAnsi="Times New Roman"/>
          <w:b/>
          <w:color w:val="000000"/>
          <w:sz w:val="18"/>
        </w:rPr>
      </w:pPr>
      <w:bookmarkStart w:id="3" w:name="condensed_consolidated_balance_sheets"/>
      <w:bookmarkEnd w:id="3"/>
      <w:r>
        <w:rPr>
          <w:rFonts w:ascii="Times New Roman" w:hAnsi="Times New Roman"/>
          <w:b/>
          <w:color w:val="000000"/>
          <w:sz w:val="18"/>
        </w:rPr>
        <w:t>CONDENSED CONSOLIDATED BALANCE SHEETS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per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6"/>
        <w:gridCol w:w="146"/>
        <w:gridCol w:w="217"/>
        <w:gridCol w:w="765"/>
        <w:gridCol w:w="166"/>
        <w:gridCol w:w="146"/>
        <w:gridCol w:w="216"/>
        <w:gridCol w:w="730"/>
        <w:gridCol w:w="713"/>
      </w:tblGrid>
      <w:tr>
        <w:trPr/>
        <w:tc>
          <w:tcPr>
            <w:tcW w:w="7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7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92" w:type="dxa"/>
            <w:gridSpan w:val="8"/>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713" w:type="dxa"/>
            <w:tcBorders/>
            <w:shd w:fill="CFF0FC" w:val="clear"/>
            <w:vAlign w:val="center"/>
          </w:tcPr>
          <w:p>
            <w:pPr>
              <w:pStyle w:val="TableContents"/>
              <w:bidi w:val="0"/>
              <w:spacing w:before="0" w:after="283"/>
              <w:jc w:val="center"/>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300"/>
              <w:jc w:val="righ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36,194</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1,523</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Marketable securities, short-term</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color w:val="000000"/>
              </w:rPr>
            </w:pPr>
            <w:r>
              <w:rPr>
                <w:color w:val="000000"/>
              </w:rPr>
              <w:t>—</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b w:val="false"/>
                <w:color w:val="000000"/>
                <w:sz w:val="18"/>
              </w:rPr>
              <w:t>Accounts receivable, net allowance for credit losses of $2,018</w:t>
            </w:r>
            <w:r>
              <w:rPr>
                <w:rFonts w:ascii="Times New Roman" w:hAnsi="Times New Roman"/>
                <w:color w:val="000000"/>
                <w:sz w:val="20"/>
              </w:rPr>
              <w:t> </w:t>
            </w:r>
            <w:r>
              <w:rPr>
                <w:rFonts w:ascii="Times New Roman" w:hAnsi="Times New Roman"/>
                <w:b w:val="false"/>
                <w:color w:val="000000"/>
                <w:sz w:val="18"/>
              </w:rPr>
              <w:t>and $76</w:t>
            </w:r>
            <w:r>
              <w:rPr>
                <w:rFonts w:ascii="Times New Roman" w:hAnsi="Times New Roman"/>
                <w:color w:val="000000"/>
                <w:sz w:val="20"/>
              </w:rPr>
              <w:t> </w:t>
            </w:r>
            <w:r>
              <w:rPr>
                <w:rFonts w:ascii="Times New Roman" w:hAnsi="Times New Roman"/>
                <w:b w:val="false"/>
                <w:color w:val="000000"/>
                <w:sz w:val="18"/>
              </w:rPr>
              <w:t>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20,358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15,816</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Inventory,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57,437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24,915</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Deferred issuance costs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2,221</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Notes receivable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456</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3,967</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6"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85,092</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1,652</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right-of-use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1,252</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Marketable securities, long-term</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color w:val="000000"/>
              </w:rPr>
            </w:pPr>
            <w:r>
              <w:rPr>
                <w:color w:val="000000"/>
              </w:rPr>
              <w:t>—</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color w:val="000000"/>
              </w:rPr>
            </w:pPr>
            <w:r>
              <w:rPr>
                <w:color w:val="000000"/>
              </w:rPr>
              <w:t>—</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6"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88,078</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92" w:type="dxa"/>
            <w:gridSpan w:val="8"/>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CONVERTIBLE PREFERRED STOCK AND STOCKHOLDERS' EQUITY (DEFICIT)</w:t>
            </w:r>
          </w:p>
        </w:tc>
        <w:tc>
          <w:tcPr>
            <w:tcW w:w="713" w:type="dxa"/>
            <w:tcBorders/>
            <w:shd w:fill="CFF0FC" w:val="clear"/>
            <w:vAlign w:val="center"/>
          </w:tcPr>
          <w:p>
            <w:pPr>
              <w:pStyle w:val="TableContents"/>
              <w:bidi w:val="0"/>
              <w:spacing w:before="0" w:after="283"/>
              <w:jc w:val="center"/>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300"/>
              <w:jc w:val="righ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23,286</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Accrued expenses and other current liabilities (see Note 8)</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4,382</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Deferred revenue,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950</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Warranty liability, current portion</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392</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Current maturities of long-term debt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10,000</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6"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39,588</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Warranty liability, net of current portion</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3,959</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Deferred revenue, net of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172</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Long-term debt, net of current maturities and unamortized debt issuance costs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10,642</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762</w:t>
            </w:r>
          </w:p>
        </w:tc>
        <w:tc>
          <w:tcPr>
            <w:tcW w:w="713" w:type="dxa"/>
            <w:tcBorders/>
            <w:shd w:fill="CFF0FC" w:val="clear"/>
            <w:vAlign w:val="center"/>
          </w:tcPr>
          <w:p>
            <w:pPr>
              <w:pStyle w:val="TableContents"/>
              <w:bidi w:val="0"/>
              <w:spacing w:before="0" w:after="283"/>
              <w:jc w:val="lef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Preferred stock warrant liability</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1,507</w:t>
            </w:r>
          </w:p>
        </w:tc>
        <w:tc>
          <w:tcPr>
            <w:tcW w:w="713" w:type="dxa"/>
            <w:tcBorders/>
            <w:shd w:fill="FFFFFF" w:val="cle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6"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56,630</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8"/>
              </w:rPr>
              <w:t>Convertible preferred stock, $0.0001</w:t>
            </w:r>
            <w:r>
              <w:rPr>
                <w:rFonts w:ascii="Times New Roman" w:hAnsi="Times New Roman"/>
                <w:color w:val="000000"/>
                <w:sz w:val="20"/>
              </w:rPr>
              <w:t> </w:t>
            </w:r>
            <w:r>
              <w:rPr>
                <w:rFonts w:ascii="Times New Roman" w:hAnsi="Times New Roman"/>
                <w:b w:val="false"/>
                <w:color w:val="000000"/>
                <w:sz w:val="18"/>
              </w:rPr>
              <w:t>par value</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ind w:left="0" w:right="0" w:firstLine="500"/>
              <w:jc w:val="right"/>
              <w:rPr/>
            </w:pPr>
            <w:r>
              <w:rPr/>
              <w:t> </w:t>
            </w:r>
          </w:p>
        </w:tc>
      </w:tr>
      <w:tr>
        <w:trPr/>
        <w:tc>
          <w:tcPr>
            <w:tcW w:w="7106" w:type="dxa"/>
            <w:tcBorders/>
            <w:shd w:fill="FFFFFF" w:val="clear"/>
            <w:vAlign w:val="center"/>
          </w:tcPr>
          <w:p>
            <w:pPr>
              <w:pStyle w:val="TableContents"/>
              <w:bidi w:val="0"/>
              <w:spacing w:before="0" w:after="283"/>
              <w:ind w:left="500" w:right="0" w:firstLine="500"/>
              <w:jc w:val="left"/>
              <w:rPr>
                <w:rFonts w:ascii="Times New Roman" w:hAnsi="Times New Roman"/>
                <w:sz w:val="20"/>
              </w:rPr>
            </w:pPr>
            <w:r>
              <w:rPr>
                <w:rFonts w:ascii="Times New Roman" w:hAnsi="Times New Roman"/>
                <w:b w:val="false"/>
                <w:color w:val="000000"/>
                <w:sz w:val="18"/>
              </w:rPr>
              <w:t>Convertible preferred stock: 10,000,000</w:t>
            </w:r>
            <w:r>
              <w:rPr>
                <w:rFonts w:ascii="Times New Roman" w:hAnsi="Times New Roman"/>
                <w:color w:val="000000"/>
                <w:sz w:val="20"/>
              </w:rPr>
              <w:t> </w:t>
            </w:r>
            <w:r>
              <w:rPr>
                <w:rFonts w:ascii="Times New Roman" w:hAnsi="Times New Roman"/>
                <w:b w:val="false"/>
                <w:color w:val="000000"/>
                <w:sz w:val="18"/>
              </w:rPr>
              <w:t>and 47,484,663</w:t>
            </w:r>
            <w:r>
              <w:rPr>
                <w:rFonts w:ascii="Times New Roman" w:hAnsi="Times New Roman"/>
                <w:color w:val="000000"/>
                <w:sz w:val="20"/>
              </w:rPr>
              <w:t> </w:t>
            </w:r>
            <w:r>
              <w:rPr>
                <w:rFonts w:ascii="Times New Roman" w:hAnsi="Times New Roman"/>
                <w:b w:val="false"/>
                <w:color w:val="000000"/>
                <w:sz w:val="18"/>
              </w:rPr>
              <w:t>shares authorized; zero</w:t>
            </w:r>
            <w:r>
              <w:rPr>
                <w:rFonts w:ascii="Times New Roman" w:hAnsi="Times New Roman"/>
                <w:color w:val="000000"/>
                <w:sz w:val="20"/>
              </w:rPr>
              <w:t> </w:t>
            </w:r>
            <w:r>
              <w:rPr>
                <w:rFonts w:ascii="Times New Roman" w:hAnsi="Times New Roman"/>
                <w:b w:val="false"/>
                <w:color w:val="000000"/>
                <w:sz w:val="18"/>
              </w:rPr>
              <w:t>and 46,467,565</w:t>
            </w:r>
            <w:r>
              <w:rPr>
                <w:rFonts w:ascii="Times New Roman" w:hAnsi="Times New Roman"/>
                <w:color w:val="000000"/>
                <w:sz w:val="20"/>
              </w:rPr>
              <w:t> </w:t>
            </w:r>
            <w:r>
              <w:rPr>
                <w:rFonts w:ascii="Times New Roman" w:hAnsi="Times New Roman"/>
                <w:b w:val="false"/>
                <w:color w:val="000000"/>
                <w:sz w:val="18"/>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87,140</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0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8"/>
              </w:rPr>
              <w:t>Commitments and Contingencies</w:t>
            </w:r>
            <w:r>
              <w:rPr>
                <w:rFonts w:ascii="Times New Roman" w:hAnsi="Times New Roman"/>
                <w:color w:val="000000"/>
                <w:sz w:val="20"/>
              </w:rPr>
              <w:t> </w:t>
            </w:r>
            <w:r>
              <w:rPr>
                <w:rFonts w:ascii="Times New Roman" w:hAnsi="Times New Roman"/>
                <w:b w:val="false"/>
                <w:color w:val="000000"/>
                <w:sz w:val="18"/>
              </w:rPr>
              <w:t>(Note 10)</w:t>
            </w:r>
          </w:p>
        </w:tc>
        <w:tc>
          <w:tcPr>
            <w:tcW w:w="146" w:type="dxa"/>
            <w:tcBorders/>
            <w:shd w:fill="CFF0FC" w:val="clear"/>
            <w:vAlign w:val="center"/>
          </w:tcPr>
          <w:p>
            <w:pPr>
              <w:pStyle w:val="TableContents"/>
              <w:bidi w:val="0"/>
              <w:spacing w:before="0" w:after="283"/>
              <w:jc w:val="left"/>
              <w:rPr/>
            </w:pPr>
            <w:r>
              <w:rPr/>
              <w:t> </w:t>
            </w:r>
          </w:p>
        </w:tc>
        <w:tc>
          <w:tcPr>
            <w:tcW w:w="9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13" w:type="dxa"/>
            <w:tcBorders/>
            <w:shd w:fill="CFF0FC" w:val="clear"/>
            <w:vAlign w:val="center"/>
          </w:tcPr>
          <w:p>
            <w:pPr>
              <w:pStyle w:val="TableContents"/>
              <w:bidi w:val="0"/>
              <w:spacing w:before="0" w:after="283"/>
              <w:jc w:val="right"/>
              <w:rPr/>
            </w:pPr>
            <w:r>
              <w:rPr/>
              <w:t> </w:t>
            </w:r>
          </w:p>
        </w:tc>
      </w:tr>
      <w:tr>
        <w:trPr/>
        <w:tc>
          <w:tcPr>
            <w:tcW w:w="71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Stockholders’ equity (deficit)</w:t>
            </w:r>
          </w:p>
        </w:tc>
        <w:tc>
          <w:tcPr>
            <w:tcW w:w="14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13" w:type="dxa"/>
            <w:tcBorders/>
            <w:shd w:fill="FFFFFF" w:val="clear"/>
            <w:vAlign w:val="center"/>
          </w:tcPr>
          <w:p>
            <w:pPr>
              <w:pStyle w:val="TableContents"/>
              <w:bidi w:val="0"/>
              <w:spacing w:before="0" w:after="283"/>
              <w:ind w:left="0" w:right="0" w:firstLine="300"/>
              <w:jc w:val="righ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b w:val="false"/>
                <w:color w:val="000000"/>
                <w:sz w:val="18"/>
              </w:rPr>
              <w:t>Common stock, $0.0001</w:t>
            </w:r>
            <w:r>
              <w:rPr>
                <w:rFonts w:ascii="Times New Roman" w:hAnsi="Times New Roman"/>
                <w:color w:val="000000"/>
                <w:sz w:val="20"/>
              </w:rPr>
              <w:t> </w:t>
            </w:r>
            <w:r>
              <w:rPr>
                <w:rFonts w:ascii="Times New Roman" w:hAnsi="Times New Roman"/>
                <w:b w:val="false"/>
                <w:color w:val="000000"/>
                <w:sz w:val="18"/>
              </w:rPr>
              <w:t>par value: 150,000,000</w:t>
            </w:r>
            <w:r>
              <w:rPr>
                <w:rFonts w:ascii="Times New Roman" w:hAnsi="Times New Roman"/>
                <w:color w:val="000000"/>
                <w:sz w:val="20"/>
              </w:rPr>
              <w:t> </w:t>
            </w:r>
            <w:r>
              <w:rPr>
                <w:rFonts w:ascii="Times New Roman" w:hAnsi="Times New Roman"/>
                <w:b w:val="false"/>
                <w:color w:val="000000"/>
                <w:sz w:val="18"/>
              </w:rPr>
              <w:t>and 60,667,100</w:t>
            </w:r>
            <w:r>
              <w:rPr>
                <w:rFonts w:ascii="Times New Roman" w:hAnsi="Times New Roman"/>
                <w:color w:val="000000"/>
                <w:sz w:val="20"/>
              </w:rPr>
              <w:t> </w:t>
            </w:r>
            <w:r>
              <w:rPr>
                <w:rFonts w:ascii="Times New Roman" w:hAnsi="Times New Roman"/>
                <w:b w:val="false"/>
                <w:color w:val="000000"/>
                <w:sz w:val="18"/>
              </w:rPr>
              <w:t>shares authorized, respectively; 58,733,366</w:t>
            </w:r>
            <w:r>
              <w:rPr>
                <w:rFonts w:ascii="Times New Roman" w:hAnsi="Times New Roman"/>
                <w:color w:val="000000"/>
                <w:sz w:val="20"/>
              </w:rPr>
              <w:t> </w:t>
            </w:r>
            <w:r>
              <w:rPr>
                <w:rFonts w:ascii="Times New Roman" w:hAnsi="Times New Roman"/>
                <w:b w:val="false"/>
                <w:color w:val="000000"/>
                <w:sz w:val="18"/>
              </w:rPr>
              <w:t>and 5,469,921</w:t>
            </w:r>
            <w:r>
              <w:rPr>
                <w:rFonts w:ascii="Times New Roman" w:hAnsi="Times New Roman"/>
                <w:color w:val="000000"/>
                <w:sz w:val="20"/>
              </w:rPr>
              <w:t> </w:t>
            </w:r>
            <w:r>
              <w:rPr>
                <w:rFonts w:ascii="Times New Roman" w:hAnsi="Times New Roman"/>
                <w:b w:val="false"/>
                <w:color w:val="000000"/>
                <w:sz w:val="18"/>
              </w:rPr>
              <w:t>shares issued and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713" w:type="dxa"/>
            <w:tcBorders/>
            <w:shd w:fill="CFF0FC" w:val="clear"/>
            <w:vAlign w:val="center"/>
          </w:tcPr>
          <w:p>
            <w:pPr>
              <w:pStyle w:val="TableContents"/>
              <w:bidi w:val="0"/>
              <w:spacing w:before="0" w:after="283"/>
              <w:ind w:left="0" w:right="0" w:firstLine="300"/>
              <w:jc w:val="left"/>
              <w:rPr/>
            </w:pPr>
            <w:r>
              <w:rPr/>
              <w:t> </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6,522</w:t>
            </w:r>
          </w:p>
        </w:tc>
        <w:tc>
          <w:tcPr>
            <w:tcW w:w="713" w:type="dxa"/>
            <w:tcBorders/>
            <w:shd w:fill="FFFFFF" w:val="clear"/>
            <w:vAlign w:val="center"/>
          </w:tcPr>
          <w:p>
            <w:pPr>
              <w:pStyle w:val="TableContents"/>
              <w:bidi w:val="0"/>
              <w:spacing w:before="0" w:after="283"/>
              <w:ind w:left="0" w:right="0" w:firstLine="300"/>
              <w:jc w:val="left"/>
              <w:rPr/>
            </w:pPr>
            <w:r>
              <w:rPr/>
              <w:t> </w:t>
            </w:r>
          </w:p>
        </w:tc>
      </w:tr>
      <w:tr>
        <w:trPr/>
        <w:tc>
          <w:tcPr>
            <w:tcW w:w="710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76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(62,215</w:t>
            </w:r>
          </w:p>
        </w:tc>
        <w:tc>
          <w:tcPr>
            <w:tcW w:w="713"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18"/>
              </w:rPr>
            </w:pPr>
            <w:r>
              <w:rPr>
                <w:rFonts w:ascii="Times New Roman" w:hAnsi="Times New Roman"/>
                <w:b w:val="false"/>
                <w:color w:val="000000"/>
                <w:sz w:val="18"/>
              </w:rPr>
              <w:t>)</w:t>
            </w:r>
          </w:p>
        </w:tc>
      </w:tr>
      <w:tr>
        <w:trPr/>
        <w:tc>
          <w:tcPr>
            <w:tcW w:w="7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06"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stockholders’ equity (deficit)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(55,692</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b w:val="false"/>
                <w:color w:val="000000"/>
                <w:sz w:val="18"/>
              </w:rPr>
            </w:pPr>
            <w:r>
              <w:rPr>
                <w:rFonts w:ascii="Times New Roman" w:hAnsi="Times New Roman"/>
                <w:b w:val="false"/>
                <w:color w:val="000000"/>
                <w:sz w:val="18"/>
              </w:rPr>
              <w:t>)</w:t>
            </w:r>
          </w:p>
        </w:tc>
      </w:tr>
      <w:tr>
        <w:trPr/>
        <w:tc>
          <w:tcPr>
            <w:tcW w:w="7106"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18"/>
              </w:rPr>
            </w:pPr>
            <w:r>
              <w:rPr>
                <w:rFonts w:ascii="Times New Roman" w:hAnsi="Times New Roman"/>
                <w:b w:val="false"/>
                <w:color w:val="000000"/>
                <w:sz w:val="18"/>
              </w:rPr>
              <w:t>Total liabilities, convertible preferred stock and stockholders’ equity (deficit)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88,078</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See accompanying notes to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bookmarkStart w:id="4" w:name="condensed_stmt_of_ops_and_comp_income"/>
      <w:bookmarkEnd w:id="4"/>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4"/>
        <w:gridCol w:w="146"/>
        <w:gridCol w:w="211"/>
        <w:gridCol w:w="1036"/>
        <w:gridCol w:w="166"/>
        <w:gridCol w:w="146"/>
        <w:gridCol w:w="211"/>
        <w:gridCol w:w="931"/>
        <w:gridCol w:w="166"/>
        <w:gridCol w:w="146"/>
        <w:gridCol w:w="211"/>
        <w:gridCol w:w="1036"/>
        <w:gridCol w:w="166"/>
        <w:gridCol w:w="146"/>
        <w:gridCol w:w="211"/>
        <w:gridCol w:w="931"/>
        <w:gridCol w:w="691"/>
      </w:tblGrid>
      <w:tr>
        <w:trPr/>
        <w:tc>
          <w:tcPr>
            <w:tcW w:w="3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50,382</w:t>
            </w:r>
          </w:p>
        </w:tc>
        <w:tc>
          <w:tcPr>
            <w:tcW w:w="691" w:type="dxa"/>
            <w:tcBorders/>
            <w:shd w:fill="CFF0FC" w:val="clear"/>
            <w:vAlign w:val="center"/>
          </w:tcPr>
          <w:p>
            <w:pPr>
              <w:pStyle w:val="TableContents"/>
              <w:bidi w:val="0"/>
              <w:spacing w:before="0" w:after="283"/>
              <w:jc w:val="left"/>
              <w:rPr/>
            </w:pPr>
            <w:r>
              <w:rPr/>
              <w:t> </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35,579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14,803</w:t>
            </w:r>
          </w:p>
        </w:tc>
        <w:tc>
          <w:tcPr>
            <w:tcW w:w="691" w:type="dxa"/>
            <w:tcBorders/>
            <w:shd w:fill="CFF0FC" w:val="clear"/>
            <w:vAlign w:val="center"/>
          </w:tcPr>
          <w:p>
            <w:pPr>
              <w:pStyle w:val="TableContents"/>
              <w:bidi w:val="0"/>
              <w:spacing w:before="0" w:after="283"/>
              <w:jc w:val="left"/>
              <w:rPr/>
            </w:pPr>
            <w:r>
              <w:rPr/>
              <w:t> </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300"/>
              <w:jc w:val="righ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4,476</w:t>
            </w:r>
          </w:p>
        </w:tc>
        <w:tc>
          <w:tcPr>
            <w:tcW w:w="691" w:type="dxa"/>
            <w:tcBorders/>
            <w:shd w:fill="CFF0FC" w:val="clear"/>
            <w:vAlign w:val="center"/>
          </w:tcPr>
          <w:p>
            <w:pPr>
              <w:pStyle w:val="TableContents"/>
              <w:bidi w:val="0"/>
              <w:spacing w:before="0" w:after="283"/>
              <w:ind w:left="0" w:right="0" w:firstLine="300"/>
              <w:jc w:val="left"/>
              <w:rPr/>
            </w:pPr>
            <w:r>
              <w:rPr/>
              <w:t> </w:t>
            </w:r>
          </w:p>
        </w:tc>
      </w:tr>
      <w:tr>
        <w:trPr/>
        <w:tc>
          <w:tcPr>
            <w:tcW w:w="3654"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7,348</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6,034</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54"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17,858</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54"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(Loss) 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(3,055</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expenses (income):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300"/>
              <w:jc w:val="righ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691" w:type="dxa"/>
            <w:tcBorders/>
            <w:shd w:fill="CFF0FC" w:val="cle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3,613</w:t>
            </w:r>
          </w:p>
        </w:tc>
        <w:tc>
          <w:tcPr>
            <w:tcW w:w="691" w:type="dxa"/>
            <w:tcBorders/>
            <w:shd w:fill="CFF0FC" w:val="clear"/>
            <w:vAlign w:val="center"/>
          </w:tcPr>
          <w:p>
            <w:pPr>
              <w:pStyle w:val="TableContents"/>
              <w:bidi w:val="0"/>
              <w:spacing w:before="0" w:after="283"/>
              <w:ind w:left="0" w:right="0" w:firstLine="300"/>
              <w:jc w:val="left"/>
              <w:rPr/>
            </w:pPr>
            <w:r>
              <w:rPr/>
              <w:t> </w:t>
            </w:r>
          </w:p>
        </w:tc>
      </w:tr>
      <w:tr>
        <w:trPr/>
        <w:tc>
          <w:tcPr>
            <w:tcW w:w="3654"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691" w:type="dxa"/>
            <w:tcBorders/>
            <w:shd w:fill="FFFFFF" w:val="clear"/>
            <w:vAlign w:val="center"/>
          </w:tcPr>
          <w:p>
            <w:pPr>
              <w:pStyle w:val="TableContents"/>
              <w:bidi w:val="0"/>
              <w:spacing w:before="0" w:after="283"/>
              <w:ind w:left="0" w:right="0" w:firstLine="300"/>
              <w:jc w:val="left"/>
              <w:rPr/>
            </w:pPr>
            <w:r>
              <w:rPr/>
              <w:t> </w:t>
            </w:r>
          </w:p>
        </w:tc>
      </w:tr>
      <w:tr>
        <w:trPr/>
        <w:tc>
          <w:tcPr>
            <w:tcW w:w="3654"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654" w:type="dxa"/>
            <w:tcBorders/>
            <w:shd w:fill="FFFFFF"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Total other (income)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(loss) before 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691" w:type="dxa"/>
            <w:tcBorders/>
            <w:shd w:fill="CFF0FC" w:val="clear"/>
            <w:vAlign w:val="center"/>
          </w:tcPr>
          <w:p>
            <w:pPr>
              <w:pStyle w:val="TableContents"/>
              <w:bidi w:val="0"/>
              <w:spacing w:before="0" w:after="283"/>
              <w:jc w:val="left"/>
              <w:rPr/>
            </w:pPr>
            <w:r>
              <w:rPr/>
              <w:t> </w:t>
            </w:r>
          </w:p>
        </w:tc>
      </w:tr>
      <w:tr>
        <w:trPr/>
        <w:tc>
          <w:tcPr>
            <w:tcW w:w="36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Cumulative dividends on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pPr>
            <w:r>
              <w:rPr/>
              <w:t> </w:t>
            </w:r>
          </w:p>
        </w:tc>
      </w:tr>
      <w:tr>
        <w:trPr/>
        <w:tc>
          <w:tcPr>
            <w:tcW w:w="36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(loss) per common share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right"/>
              <w:rPr/>
            </w:pPr>
            <w:r>
              <w:rPr/>
              <w:t> </w:t>
            </w:r>
          </w:p>
        </w:tc>
      </w:tr>
      <w:tr>
        <w:trPr/>
        <w:tc>
          <w:tcPr>
            <w:tcW w:w="36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6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right"/>
              <w:rPr/>
            </w:pPr>
            <w:r>
              <w:rPr/>
              <w:t> </w:t>
            </w:r>
          </w:p>
        </w:tc>
      </w:tr>
      <w:tr>
        <w:trPr/>
        <w:tc>
          <w:tcPr>
            <w:tcW w:w="365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58,408,441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31,070,476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4,852,696</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65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68,368,758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40,487,517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4,852,696</w:t>
            </w:r>
          </w:p>
        </w:tc>
        <w:tc>
          <w:tcPr>
            <w:tcW w:w="6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 (Unaudited)</w:t>
      </w:r>
    </w:p>
    <w:p>
      <w:pPr>
        <w:pStyle w:val="TextBody"/>
        <w:bidi w:val="0"/>
        <w:jc w:val="center"/>
        <w:rPr/>
      </w:pPr>
      <w:bookmarkStart w:id="5" w:name="statements_of_equity"/>
      <w:bookmarkEnd w:id="5"/>
      <w:r>
        <w:rPr/>
        <w:t> </w:t>
      </w:r>
    </w:p>
    <w:tbl>
      <w:tblPr>
        <w:tblW w:w="11300" w:type="dxa"/>
        <w:jc w:val="left"/>
        <w:tblInd w:w="0" w:type="dxa"/>
        <w:tblLayout w:type="fixed"/>
        <w:tblCellMar>
          <w:top w:w="28" w:type="dxa"/>
          <w:left w:w="28" w:type="dxa"/>
          <w:bottom w:w="28" w:type="dxa"/>
          <w:right w:w="28" w:type="dxa"/>
        </w:tblCellMar>
      </w:tblPr>
      <w:tblGrid>
        <w:gridCol w:w="1186"/>
        <w:gridCol w:w="146"/>
        <w:gridCol w:w="146"/>
        <w:gridCol w:w="1066"/>
        <w:gridCol w:w="166"/>
        <w:gridCol w:w="146"/>
        <w:gridCol w:w="196"/>
        <w:gridCol w:w="661"/>
        <w:gridCol w:w="166"/>
        <w:gridCol w:w="146"/>
        <w:gridCol w:w="146"/>
        <w:gridCol w:w="146"/>
        <w:gridCol w:w="976"/>
        <w:gridCol w:w="166"/>
        <w:gridCol w:w="146"/>
        <w:gridCol w:w="206"/>
        <w:gridCol w:w="365"/>
        <w:gridCol w:w="166"/>
        <w:gridCol w:w="146"/>
        <w:gridCol w:w="196"/>
        <w:gridCol w:w="691"/>
        <w:gridCol w:w="166"/>
        <w:gridCol w:w="146"/>
        <w:gridCol w:w="199"/>
        <w:gridCol w:w="672"/>
        <w:gridCol w:w="166"/>
        <w:gridCol w:w="146"/>
        <w:gridCol w:w="307"/>
        <w:gridCol w:w="684"/>
        <w:gridCol w:w="166"/>
        <w:gridCol w:w="146"/>
        <w:gridCol w:w="209"/>
        <w:gridCol w:w="707"/>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 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w:t>
              <w:br/>
              <w:t xml:space="preserve">stockholders’ </w:t>
              <w:b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199,145,285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87,140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23,442,353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(62,215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(55,692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Retroactive application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(152,677,720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(17,972,432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46,467,565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87,140</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5,469,921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(62,215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(55,692</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140,545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92</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in connection with the acquisition of fSight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1,306,385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10,077</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gain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46,467,565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6,916,851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(38,233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Forfeitures of restricted stock and restricted stock surrendered in lieu of withholding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Convertible preferred stock dividends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1,258,055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(12,581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preferred stock upon exercise of preferred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2,008</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Conversion of convertible preferred stock into common stock in connection with the Business Combination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(47,918,992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47,918,992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87,140</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common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1,491,229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Purchase price adjustment in connection with the fSight acquisition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897</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Business Combination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18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58,144,543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264,277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common stock warrants, net of issuance costs and payments to warrant holders of non-redeemed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324,546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3,653</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Reclassification of convertible note derivative liability to equity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11,279</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loss resulting from change in fair value of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w:t>
            </w:r>
          </w:p>
        </w:tc>
        <w:tc>
          <w:tcPr>
            <w:tcW w:w="211" w:type="dxa"/>
            <w:tcBorders/>
            <w:shd w:fill="CFF0FC" w:val="cle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1,274</w:t>
            </w:r>
          </w:p>
        </w:tc>
        <w:tc>
          <w:tcPr>
            <w:tcW w:w="211" w:type="dxa"/>
            <w:tcBorders/>
            <w:shd w:fill="FFFFFF" w:val="clear"/>
            <w:vAlign w:val="center"/>
          </w:tcPr>
          <w:p>
            <w:pPr>
              <w:pStyle w:val="TableContents"/>
              <w:bidi w:val="0"/>
              <w:spacing w:before="0" w:after="283"/>
              <w:jc w:val="left"/>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58,733,366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TIGO ENERGY,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 (Unaudited)</w:t>
      </w:r>
    </w:p>
    <w:p>
      <w:pPr>
        <w:pStyle w:val="TextBody"/>
        <w:bidi w:val="0"/>
        <w:jc w:val="left"/>
        <w:rPr/>
      </w:pPr>
      <w:r>
        <w:rPr/>
        <w:t> </w:t>
      </w:r>
    </w:p>
    <w:tbl>
      <w:tblPr>
        <w:tblW w:w="10689" w:type="dxa"/>
        <w:jc w:val="left"/>
        <w:tblInd w:w="0" w:type="dxa"/>
        <w:tblLayout w:type="fixed"/>
        <w:tblCellMar>
          <w:top w:w="28" w:type="dxa"/>
          <w:left w:w="28" w:type="dxa"/>
          <w:bottom w:w="28" w:type="dxa"/>
          <w:right w:w="28" w:type="dxa"/>
        </w:tblCellMar>
      </w:tblPr>
      <w:tblGrid>
        <w:gridCol w:w="1081"/>
        <w:gridCol w:w="146"/>
        <w:gridCol w:w="146"/>
        <w:gridCol w:w="1066"/>
        <w:gridCol w:w="166"/>
        <w:gridCol w:w="146"/>
        <w:gridCol w:w="196"/>
        <w:gridCol w:w="601"/>
        <w:gridCol w:w="146"/>
        <w:gridCol w:w="146"/>
        <w:gridCol w:w="146"/>
        <w:gridCol w:w="146"/>
        <w:gridCol w:w="976"/>
        <w:gridCol w:w="166"/>
        <w:gridCol w:w="146"/>
        <w:gridCol w:w="206"/>
        <w:gridCol w:w="365"/>
        <w:gridCol w:w="166"/>
        <w:gridCol w:w="146"/>
        <w:gridCol w:w="208"/>
        <w:gridCol w:w="543"/>
        <w:gridCol w:w="146"/>
        <w:gridCol w:w="146"/>
        <w:gridCol w:w="223"/>
        <w:gridCol w:w="498"/>
        <w:gridCol w:w="166"/>
        <w:gridCol w:w="146"/>
        <w:gridCol w:w="199"/>
        <w:gridCol w:w="672"/>
        <w:gridCol w:w="166"/>
        <w:gridCol w:w="146"/>
        <w:gridCol w:w="209"/>
        <w:gridCol w:w="707"/>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9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Shares </w:t>
            </w:r>
            <w:r>
              <w:rPr>
                <w:rFonts w:ascii="Times New Roman" w:hAnsi="Times New Roman"/>
                <w:b/>
                <w:color w:val="000000"/>
                <w:sz w:val="9"/>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br/>
              <w:t>from related</w:t>
              <w:br/>
              <w:t> parties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Total </w:t>
              <w:br/>
              <w:t xml:space="preserve">stockholders’ </w:t>
              <w:b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165,578,120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46,370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20,580,109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(49,896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Retroactive application (Note 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(126,942,949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(15,778,049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2021,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38,635,171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46,370</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4,802,060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(55,178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(49,896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2022,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38,635,171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4,828,857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(55,550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sale of Series E,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4,175,321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21,712</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2022, as converted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42,810,492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4,838,707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207,738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Proceeds from sale of Series E, 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3,657,073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19,128</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46,467,565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5,046,444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jc w:val="left"/>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jc w:val="both"/>
        <w:rPr/>
      </w:pPr>
      <w:r>
        <w:rPr>
          <w:rFonts w:ascii="Times New Roman" w:hAnsi="Times New Roman"/>
          <w:b w:val="false"/>
          <w:color w:val="000000"/>
          <w:sz w:val="16"/>
        </w:rPr>
        <w:t>The shares of the Company’s common and redeemable convertible preferred stock prior to the Business Combination (as defined in Note 1) have been retroactively restated to reflect the exchange ratio of approximately 0.233335</w:t>
      </w:r>
      <w:r>
        <w:rPr>
          <w:color w:val="000000"/>
        </w:rPr>
        <w:t xml:space="preserve"> </w:t>
      </w:r>
      <w:r>
        <w:rPr>
          <w:rFonts w:ascii="Times New Roman" w:hAnsi="Times New Roman"/>
          <w:b w:val="false"/>
          <w:color w:val="000000"/>
          <w:sz w:val="16"/>
        </w:rPr>
        <w:t>established in the Business Combination as described in Note 3.</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mt_of_cash_flow"/>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82"/>
        <w:gridCol w:w="746"/>
        <w:gridCol w:w="211"/>
        <w:gridCol w:w="736"/>
        <w:gridCol w:w="746"/>
        <w:gridCol w:w="746"/>
        <w:gridCol w:w="211"/>
        <w:gridCol w:w="736"/>
        <w:gridCol w:w="791"/>
      </w:tblGrid>
      <w:tr>
        <w:trPr/>
        <w:tc>
          <w:tcPr>
            <w:tcW w:w="528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82"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3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13,790</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7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Reserve for inventory obsolescence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 in fair value of preferred stock warrant and contingent shares liability</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 in fair value of derivative liability</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(12,247</w:t>
            </w:r>
          </w:p>
        </w:tc>
        <w:tc>
          <w:tcPr>
            <w:tcW w:w="74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Deferred tax benefit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Non-cash interest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Allowance for credit losses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1,968</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Loss on debt extinguishment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746" w:type="dxa"/>
            <w:tcBorders/>
            <w:shd w:fill="FFFFFF" w:val="clear"/>
            <w:vAlign w:val="center"/>
          </w:tcPr>
          <w:p>
            <w:pPr>
              <w:pStyle w:val="TableContents"/>
              <w:bidi w:val="0"/>
              <w:spacing w:before="0" w:after="283"/>
              <w:ind w:left="0" w:right="0" w:firstLine="200"/>
              <w:jc w:val="lef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Accretion of interest on marketable securities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74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28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746" w:type="dxa"/>
            <w:tcBorders/>
            <w:shd w:fill="CFF0FC" w:val="clear"/>
            <w:vAlign w:val="center"/>
          </w:tcPr>
          <w:p>
            <w:pPr>
              <w:pStyle w:val="TableContents"/>
              <w:bidi w:val="0"/>
              <w:spacing w:before="0" w:after="283"/>
              <w:ind w:left="0" w:right="0" w:firstLine="200"/>
              <w:jc w:val="left"/>
              <w:rPr/>
            </w:pPr>
            <w:r>
              <w:rPr/>
              <w:t> </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28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ind w:left="0" w:right="0" w:firstLine="200"/>
              <w:jc w:val="right"/>
              <w:rPr/>
            </w:pPr>
            <w:r>
              <w:rPr/>
              <w:t> </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28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(6,393</w:t>
            </w:r>
          </w:p>
        </w:tc>
        <w:tc>
          <w:tcPr>
            <w:tcW w:w="74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(10,811</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Inventory</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(33,318</w:t>
            </w:r>
          </w:p>
        </w:tc>
        <w:tc>
          <w:tcPr>
            <w:tcW w:w="74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(1,965</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1,183</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(4,573</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(4,115</w:t>
            </w:r>
          </w:p>
        </w:tc>
        <w:tc>
          <w:tcPr>
            <w:tcW w:w="74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6,333</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28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liabilities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1,975</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528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w:t>
            </w:r>
          </w:p>
        </w:tc>
        <w:tc>
          <w:tcPr>
            <w:tcW w:w="74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Warranty liability</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1,456</w:t>
            </w:r>
          </w:p>
        </w:tc>
        <w:tc>
          <w:tcPr>
            <w:tcW w:w="746" w:type="dxa"/>
            <w:tcBorders/>
            <w:shd w:fill="CFF0FC" w:val="clear"/>
            <w:vAlign w:val="center"/>
          </w:tcPr>
          <w:p>
            <w:pPr>
              <w:pStyle w:val="TableContents"/>
              <w:bidi w:val="0"/>
              <w:spacing w:before="0" w:after="283"/>
              <w:ind w:left="0" w:right="0" w:firstLine="400"/>
              <w:jc w:val="left"/>
              <w:rPr/>
            </w:pPr>
            <w:r>
              <w:rPr/>
              <w:t> </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5282"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Deferred rent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46" w:type="dxa"/>
            <w:tcBorders/>
            <w:shd w:fill="FFFFFF" w:val="clear"/>
            <w:vAlign w:val="center"/>
          </w:tcPr>
          <w:p>
            <w:pPr>
              <w:pStyle w:val="TableContents"/>
              <w:bidi w:val="0"/>
              <w:spacing w:before="0" w:after="283"/>
              <w:ind w:left="0" w:right="0" w:firstLine="400"/>
              <w:jc w:val="left"/>
              <w:rPr/>
            </w:pPr>
            <w:r>
              <w:rPr/>
              <w:t> </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2"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(29,379</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marketable securities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(53,483</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 of fSight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intangible assets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(1,855</w:t>
            </w:r>
          </w:p>
        </w:tc>
        <w:tc>
          <w:tcPr>
            <w:tcW w:w="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w:t>
            </w:r>
          </w:p>
        </w:tc>
        <w:tc>
          <w:tcPr>
            <w:tcW w:w="7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maturities of marketable securities</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14,885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2"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(40,919</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Convertible Promissory Note</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w:t>
            </w:r>
          </w:p>
        </w:tc>
        <w:tc>
          <w:tcPr>
            <w:tcW w:w="791" w:type="dxa"/>
            <w:tcBorders/>
            <w:shd w:fill="CFF0FC" w:val="cle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 of Series 2022-1 Notes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(20,833</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w:t>
            </w:r>
          </w:p>
        </w:tc>
        <w:tc>
          <w:tcPr>
            <w:tcW w:w="7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Repayment of Senior Bonds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7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financing costs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w:t>
            </w:r>
          </w:p>
        </w:tc>
        <w:tc>
          <w:tcPr>
            <w:tcW w:w="7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sale of Series E convertible preferred stock</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40,978</w:t>
            </w:r>
          </w:p>
        </w:tc>
        <w:tc>
          <w:tcPr>
            <w:tcW w:w="791" w:type="dxa"/>
            <w:tcBorders/>
            <w:shd w:fill="CFF0FC" w:val="cle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Business Combination</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2,238</w:t>
            </w:r>
          </w:p>
        </w:tc>
        <w:tc>
          <w:tcPr>
            <w:tcW w:w="7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791" w:type="dxa"/>
            <w:tcBorders/>
            <w:shd w:fill="CFF0FC" w:val="cle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tax withholdings on stock options</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791" w:type="dxa"/>
            <w:tcBorders/>
            <w:shd w:fill="FFFFFF" w:val="clear"/>
            <w:vAlign w:val="center"/>
          </w:tcPr>
          <w:p>
            <w:pPr>
              <w:pStyle w:val="TableContents"/>
              <w:bidi w:val="0"/>
              <w:spacing w:before="0" w:after="283"/>
              <w:jc w:val="lef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 of Series E convertible preferred stock issuance costs</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746"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w:t>
            </w:r>
          </w:p>
        </w:tc>
        <w:tc>
          <w:tcPr>
            <w:tcW w:w="7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common stock warrant redemption, net of issuance costs and payments to warrant holders of non-redeemed warrants</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3,653</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82"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34,821</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49,987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and restricted cash</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(35,477</w:t>
            </w:r>
          </w:p>
        </w:tc>
        <w:tc>
          <w:tcPr>
            <w:tcW w:w="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36,077</w:t>
            </w:r>
          </w:p>
        </w:tc>
        <w:tc>
          <w:tcPr>
            <w:tcW w:w="791" w:type="dxa"/>
            <w:tcBorders/>
            <w:shd w:fill="FFFFFF" w:val="clear"/>
            <w:vAlign w:val="center"/>
          </w:tcPr>
          <w:p>
            <w:pPr>
              <w:pStyle w:val="TableContents"/>
              <w:bidi w:val="0"/>
              <w:spacing w:before="0" w:after="283"/>
              <w:jc w:val="left"/>
              <w:rPr/>
            </w:pPr>
            <w:r>
              <w:rPr/>
              <w:t> </w:t>
            </w:r>
          </w:p>
        </w:tc>
      </w:tr>
      <w:tr>
        <w:trPr/>
        <w:tc>
          <w:tcPr>
            <w:tcW w:w="52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period</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37,717</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period</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43,551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47"/>
        <w:gridCol w:w="346"/>
        <w:gridCol w:w="223"/>
        <w:gridCol w:w="715"/>
        <w:gridCol w:w="387"/>
        <w:gridCol w:w="366"/>
        <w:gridCol w:w="223"/>
        <w:gridCol w:w="604"/>
        <w:gridCol w:w="394"/>
      </w:tblGrid>
      <w:tr>
        <w:trPr/>
        <w:tc>
          <w:tcPr>
            <w:tcW w:w="69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47"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346" w:type="dxa"/>
            <w:tcBorders/>
            <w:shd w:fill="FFFFFF" w:val="clear"/>
            <w:vAlign w:val="center"/>
          </w:tcPr>
          <w:p>
            <w:pPr>
              <w:pStyle w:val="TableContents"/>
              <w:bidi w:val="0"/>
              <w:spacing w:before="0" w:after="283"/>
              <w:ind w:left="0" w:right="0" w:firstLine="200"/>
              <w:jc w:val="left"/>
              <w:rPr/>
            </w:pPr>
            <w:r>
              <w:rPr/>
              <w:t> </w:t>
            </w:r>
          </w:p>
        </w:tc>
        <w:tc>
          <w:tcPr>
            <w:tcW w:w="938" w:type="dxa"/>
            <w:gridSpan w:val="2"/>
            <w:tcBorders/>
            <w:shd w:fill="FFFFFF" w:val="clear"/>
            <w:vAlign w:val="center"/>
          </w:tcPr>
          <w:p>
            <w:pPr>
              <w:pStyle w:val="TableContents"/>
              <w:bidi w:val="0"/>
              <w:spacing w:before="0" w:after="283"/>
              <w:ind w:left="200" w:right="0" w:firstLine="200"/>
              <w:jc w:val="right"/>
              <w:rPr/>
            </w:pPr>
            <w:r>
              <w:rPr/>
              <w:t> </w:t>
            </w:r>
          </w:p>
        </w:tc>
        <w:tc>
          <w:tcPr>
            <w:tcW w:w="387"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Cash paid for income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387" w:type="dxa"/>
            <w:tcBorders/>
            <w:shd w:fill="CFF0FC" w:val="clear"/>
            <w:vAlign w:val="center"/>
          </w:tcPr>
          <w:p>
            <w:pPr>
              <w:pStyle w:val="TableContents"/>
              <w:bidi w:val="0"/>
              <w:spacing w:before="0" w:after="283"/>
              <w:ind w:left="0" w:right="0" w:firstLine="200"/>
              <w:jc w:val="righ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assets acquired from Roth CH Acquisition IV Co.</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Operating lease right of use assets obtained in exchange for operating lease liabilities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Property plant and equipment in accounts payable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Non-cash consideration paid for the acquisition of fSight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10,974</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Contingent shares liability from fSight acquisition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Fair value of derivative note liability at issuance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23,525</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Dividends on Series D and Series E convertible preferred stock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12,581</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Reclassification of deferred issuance costs to additional paid in capital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Conversion of convertible preferred stock into common stock in connection with the Business Combination (Note 3)</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87,140</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Issuance of preferred stock upon exercise of preferred warrants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Unrealized loss resulting from change in fair value of marketable securities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66" w:type="dxa"/>
            <w:tcBorders/>
            <w:shd w:fill="FFFFFF"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Reclassification of convertible note derivative liability to equity</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11,278</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6" w:type="dxa"/>
            <w:tcBorders/>
            <w:shd w:fill="CFF0FC" w:val="clear"/>
            <w:vAlign w:val="center"/>
          </w:tcPr>
          <w:p>
            <w:pPr>
              <w:pStyle w:val="TableContents"/>
              <w:bidi w:val="0"/>
              <w:spacing w:before="0" w:after="283"/>
              <w:ind w:left="200" w:right="0" w:firstLine="200"/>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7" w:name="notes_to_consolidated_condensed_fin_stmt"/>
      <w:bookmarkEnd w:id="7"/>
      <w:r>
        <w:rPr>
          <w:rFonts w:ascii="Times New Roman" w:hAnsi="Times New Roman"/>
          <w:b/>
          <w:color w:val="000000"/>
          <w:sz w:val="20"/>
        </w:rPr>
        <w:t>NOTES TO CONSOLIDATED CONDENSED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Nature of Operations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Tigo Energy, Inc. (f/k/a Roth CH Acquisition IV Co.) (the “Company” or “Tigo”) consists of Tigo Energy, Inc., its wholly-owned direct subsidiary: Tigo Energy MergeCo, Inc. (f/k/a Tigo Energy, Inc.) (“Legacy Tigo”), and its wholly-owned indirect subsidiaries: Tigo Energy Israel Ltd., Foresight Energy, Ltd. (“fSight”), Tigo Energy Italy SRL, Tigo Energy Systems Trading (Suzhou) Company, Limited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The Company is headquartered in Campbell, California with offices in Europe, Asia, Australia, and the Middle East.</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Entry into a Material Definitive Agreement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Please refer to Note 3 “Merger with Roth CH Acquisition IV Co.” for additional details regarding the Business Combination.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net assets of ROCG are stated at historical cost, with no goodwill or other intangible assets recorded. The consolidated assets, liabilities and results of operations prior to the Reverse Recapitalization are those of Legacy Tigo. The shares and corresponding capital amounts and earnings per share available for common stockholders, prior to the Business Combination, have been retroactively restated as shares reflecting the exchange ratio established in the Business Combination.</w:t>
      </w:r>
      <w:r>
        <w:rPr>
          <w:rFonts w:ascii="Times New Roman" w:hAnsi="Times New Roman"/>
          <w:color w:val="000000"/>
          <w:sz w:val="20"/>
        </w:rPr>
        <w:t xml:space="preserve"> </w:t>
      </w:r>
      <w:r>
        <w:rPr>
          <w:rFonts w:ascii="Times New Roman" w:hAnsi="Times New Roman"/>
          <w:b w:val="false"/>
          <w:color w:val="000000"/>
          <w:sz w:val="20"/>
        </w:rPr>
        <w:t>Please refer to Note 3 “Merger with Roth CH Acquisition IV Co.” for additional details regarding the Business Combination.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September 30, 2023 and its condensed consolidated statements of operations and comprehensive income (loss), cash flows, and convertible preferred stock and stockholders’ equity (deficit) for the three and nine months ended September 30, 2023 and 2022. Operating results for the three and nine months ended September 30, 2023, are not necessarily indicative of the results that may be expected for the full year ending December 31, 2023. The unaudited condensed consolidated financial statements, presented herein, do not contain all of the required disclosures under GAAP for annual consolidated financial statements. The condensed consolidated balance sheet as of December 31, 2022, has been derived from the audited consolidated balance sheet as of that date. The accompanying unaudited condensed consolidated financial statements should be read in conjunction with the annual audited consolidated financial statements and related notes thereto for the year ended December 31, 2022.</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significant accounting policies are described in Note 2 to its audited consolidated financial statements for the year ended December 31, 2022, which are included in the Company's Form S-1 filed with the SEC on June 22,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Emerging Growth Company Status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Basis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condensed consolidated financial statements include the accounts of Tigo and its wholly-owned subsidiaries: Tigo Energy Israel Ltd. and Foresight Energy, Ltd. (“fSight”), both of which are incorporated in Israel, in addition to Tigo Energy Italy SRL, Tigo Energy Systems Trading (Suzhou) Company, Limited and Tigo Energy Australia Pty Limited which are incorporated in Italy, China and Australia, respectively. All intercompany transactions and balances have been eliminated in consolidation. The Company has determined the functional currency of the subsidiaries to be the United States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expense, net in the condensed consolidated statements of operations and comprehensive income (loss) and were not material for the three and nine months ended September 30, 2023.</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Use of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preparation of financial statements in conformity with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information and various other assumptions that are believed to be reasonable under the circumstances. Examples of such estimates include, among other things, the valuation of share-based awards, the recoverability of long-lived assets, the assessment of intangible assets and goodwill for impairment, the determination of the incremental borrowing rate for operating leases, provisions for warranty and expected credit losses, inventory obsolescence, sales returns, future price concessions, fair value of the derivative liability and tax contingencies and valuation allowances as well the estimated useful lives of plant and equipment and acquired intangible assets. Actual results may materially differ from these estimates. On an ongoing basis, the Company reviews its estimates to ensure that these estimates appropriately reflect changes in its business or new information as it becomes available.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Reclassification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Certain prior period amounts in the condensed consolidated financial statements and accompanying notes have been reclassified to conform to the current period's presentation as follows. Customer deposits in previous periods were</w:t>
      </w:r>
      <w:r>
        <w:rPr>
          <w:rFonts w:ascii="Times New Roman" w:hAnsi="Times New Roman"/>
          <w:color w:val="000000"/>
          <w:sz w:val="20"/>
        </w:rPr>
        <w:t xml:space="preserve"> </w:t>
      </w:r>
      <w:r>
        <w:rPr>
          <w:rFonts w:ascii="Times New Roman" w:hAnsi="Times New Roman"/>
          <w:b w:val="false"/>
          <w:color w:val="000000"/>
          <w:sz w:val="20"/>
        </w:rPr>
        <w:t>recorded in other accrued liabilities within the condensed consolidated balance sheet. Customer deposits are now recorded in deferred revenue, current portion and deferred revenue, net of current portion within the condensed consolidated balance sheet.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Marketable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marketable securities consist of investments in U.S. agency securities and corporate bonds that are classified as available-for-sale. The securities are carried at fair value with the unrealized gains and losses included in other comprehensive loss, a component of stockholders’ equity (deficit). Realized gains, losses, and declines in value determined to be other than temporary are included in the Company’s condensed consolidated statements of operations and comprehensive income (loss). If any adjustment to fair value reflects a decline in the value of the investment that the Company considers to be “other than temporary,” the Company would reduce the investment to fair value through a charge to the condensed consolidated statements of operations and comprehensive income (loss). No such adjustments were necessary during the periods presented.</w:t>
      </w:r>
    </w:p>
    <w:p>
      <w:pPr>
        <w:pStyle w:val="TextBody"/>
        <w:bidi w:val="0"/>
        <w:spacing w:before="240" w:after="283"/>
        <w:jc w:val="left"/>
        <w:rPr>
          <w:rFonts w:ascii="Times New Roman" w:hAnsi="Times New Roman"/>
          <w:b w:val="false"/>
          <w:i/>
          <w:color w:val="221F1F"/>
          <w:sz w:val="20"/>
        </w:rPr>
      </w:pPr>
      <w:r>
        <w:rPr>
          <w:rFonts w:ascii="Times New Roman" w:hAnsi="Times New Roman"/>
          <w:b w:val="false"/>
          <w:i/>
          <w:color w:val="221F1F"/>
          <w:sz w:val="20"/>
        </w:rPr>
        <w:t>Business Combinations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Company accounts for business combinations under </w:t>
      </w:r>
      <w:r>
        <w:rPr>
          <w:rFonts w:ascii="Times New Roman" w:hAnsi="Times New Roman"/>
          <w:b w:val="false"/>
          <w:i/>
          <w:color w:val="000000"/>
          <w:sz w:val="20"/>
        </w:rPr>
        <w:t>ASC Topic 805, Business Combinations</w:t>
      </w:r>
      <w:r>
        <w:rPr>
          <w:rFonts w:ascii="Times New Roman" w:hAnsi="Times New Roman"/>
          <w:b w:val="false"/>
          <w:color w:val="000000"/>
          <w:sz w:val="20"/>
        </w:rPr>
        <w:t>, using the acquisition method of accounting, and accordingly, the assets and liabilities of the acquired business are recorded at their fair values at the date of acquisition.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fair values assigned, defined as the price that would be received to sell an asset or paid to transfer a liability in an orderly transaction between willing market participants, are based on estimates and assumptions determined by management. These valuations require the Company to make significant estimates and assumptions, especially with respect to intangible assets. Significant estimates in valuing certain intangible assets include, but are not limited to, future expected cash flows from acquired customer relationships and developed technology, royalty rates, and discount rates. The Company records the excess consideration over the aggregate fair value of tangible and intangible assets, net of liabilities assumed, as goodwill. All acquisition costs are expensed as incurred. Upon acquisition, the accounts and results of operations are included as of and subsequent to the acquisition date.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the initial accounting for a business combination is incomplete by the end of a reporting period that falls within the measurement period, the Company reports provisional amounts in the condensed consolidated financial statements. During the measurement period, the provisional amounts recognized at the acquisition date will be adjusted to reflect new information obtained about facts and circumstances that existed as of the acquisition date that, if known, would have affected the measurement of the amounts recognized as of that date and the Company records those adjustments in the condensed consolidated financial statements.</w:t>
      </w:r>
    </w:p>
    <w:p>
      <w:pPr>
        <w:pStyle w:val="TextBody"/>
        <w:bidi w:val="0"/>
        <w:spacing w:before="240" w:after="283"/>
        <w:jc w:val="left"/>
        <w:rPr>
          <w:rFonts w:ascii="Times New Roman" w:hAnsi="Times New Roman"/>
          <w:b w:val="false"/>
          <w:i/>
          <w:color w:val="221F1F"/>
          <w:sz w:val="20"/>
        </w:rPr>
      </w:pPr>
      <w:r>
        <w:rPr>
          <w:rFonts w:ascii="Times New Roman" w:hAnsi="Times New Roman"/>
          <w:b w:val="false"/>
          <w:i/>
          <w:color w:val="221F1F"/>
          <w:sz w:val="20"/>
        </w:rPr>
        <w:t>Goodwill and Intangible Assets</w:t>
      </w:r>
    </w:p>
    <w:p>
      <w:pPr>
        <w:pStyle w:val="TextBody"/>
        <w:bidi w:val="0"/>
        <w:spacing w:before="120" w:after="283"/>
        <w:jc w:val="both"/>
        <w:rPr>
          <w:rFonts w:ascii="Times New Roman" w:hAnsi="Times New Roman"/>
          <w:b w:val="false"/>
          <w:color w:val="221F1F"/>
          <w:sz w:val="20"/>
        </w:rPr>
      </w:pPr>
      <w:r>
        <w:rPr>
          <w:rFonts w:ascii="Times New Roman" w:hAnsi="Times New Roman"/>
          <w:b w:val="false"/>
          <w:color w:val="221F1F"/>
          <w:sz w:val="20"/>
        </w:rPr>
        <w:t>Goodwill represents the excess of the purchase price over the identifiable tangible and intangible assets acquired in addition to liabilities assumed arising from the acquisition of fSight. Initially the Company measures goodwill based upon the value of the consideration paid plus or minus net assets assumed. The goodwill arising from the Company's acquisition is attributable to the value of the potential expanded market opportunity with new customers.</w:t>
      </w:r>
    </w:p>
    <w:p>
      <w:pPr>
        <w:pStyle w:val="TextBody"/>
        <w:bidi w:val="0"/>
        <w:spacing w:before="240" w:after="283"/>
        <w:jc w:val="both"/>
        <w:rPr>
          <w:rFonts w:ascii="Times New Roman" w:hAnsi="Times New Roman"/>
          <w:sz w:val="20"/>
        </w:rPr>
      </w:pPr>
      <w:r>
        <w:rPr>
          <w:rFonts w:ascii="Times New Roman" w:hAnsi="Times New Roman"/>
          <w:b w:val="false"/>
          <w:color w:val="221F1F"/>
          <w:sz w:val="20"/>
        </w:rPr>
        <w:t>Intangible assets have either an identifiable or indefinite useful life. Intangible assets are recorded at cost or when acquired as part of a business combination at estimated fair value. Intangible assets with identifiable useful lives are amortized on a straight-line basis over their economic or legal life, whichever is shorter. The Company's amortizable intangible assets consist primarily of patents, developed technology, and customer relationships. The useful life of these intangible assets ranges from 4</w:t>
      </w:r>
      <w:r>
        <w:rPr>
          <w:rFonts w:ascii="Times New Roman" w:hAnsi="Times New Roman"/>
          <w:color w:val="221F1F"/>
          <w:sz w:val="20"/>
        </w:rPr>
        <w:t xml:space="preserve"> </w:t>
      </w:r>
      <w:r>
        <w:rPr>
          <w:rFonts w:ascii="Times New Roman" w:hAnsi="Times New Roman"/>
          <w:b w:val="false"/>
          <w:color w:val="221F1F"/>
          <w:sz w:val="20"/>
        </w:rPr>
        <w:t>to 10 years.</w:t>
      </w:r>
    </w:p>
    <w:p>
      <w:pPr>
        <w:pStyle w:val="TextBody"/>
        <w:bidi w:val="0"/>
        <w:spacing w:before="240" w:after="283"/>
        <w:jc w:val="both"/>
        <w:rPr>
          <w:rFonts w:ascii="Times New Roman" w:hAnsi="Times New Roman"/>
          <w:sz w:val="20"/>
        </w:rPr>
      </w:pPr>
      <w:r>
        <w:rPr>
          <w:rFonts w:ascii="Times New Roman" w:hAnsi="Times New Roman"/>
          <w:b w:val="false"/>
          <w:color w:val="221F1F"/>
          <w:sz w:val="20"/>
        </w:rPr>
        <w:t>Goodwill is not amortized but is subject to annual impairment testing unless circumstances dictate more frequent assessments. The Company will perform an annual impairment assessment for goodwill and more frequently whenever events or changes in circumstances indicate that the fair value of the asset may be less than the carrying amount.</w:t>
      </w:r>
      <w:r>
        <w:rPr>
          <w:rFonts w:ascii="Times New Roman" w:hAnsi="Times New Roman"/>
          <w:color w:val="221F1F"/>
          <w:sz w:val="20"/>
        </w:rPr>
        <w:t xml:space="preserve"> </w:t>
      </w:r>
    </w:p>
    <w:p>
      <w:pPr>
        <w:pStyle w:val="TextBody"/>
        <w:bidi w:val="0"/>
        <w:spacing w:before="240" w:after="283"/>
        <w:jc w:val="left"/>
        <w:rPr>
          <w:rFonts w:ascii="Times New Roman" w:hAnsi="Times New Roman"/>
          <w:b w:val="false"/>
          <w:i/>
          <w:color w:val="221F1F"/>
          <w:sz w:val="20"/>
        </w:rPr>
      </w:pPr>
      <w:r>
        <w:rPr>
          <w:rFonts w:ascii="Times New Roman" w:hAnsi="Times New Roman"/>
          <w:b w:val="false"/>
          <w:i/>
          <w:color w:val="221F1F"/>
          <w:sz w:val="20"/>
        </w:rPr>
        <w:t>Convertible Promissory Note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January 9, 2023, the Company entered into a convertible promissory note purchase agreement (the “Note Purchase Agreement”) with L1 Energy Capital Management S.a.r.l (“L1 Energy”) pursuant to which the Company issued a convertible promissory note in an aggregate principal amount of $50.0</w:t>
      </w:r>
      <w:r>
        <w:rPr>
          <w:rFonts w:ascii="Times New Roman" w:hAnsi="Times New Roman"/>
          <w:color w:val="000000"/>
          <w:sz w:val="20"/>
        </w:rPr>
        <w:t xml:space="preserve"> </w:t>
      </w:r>
      <w:r>
        <w:rPr>
          <w:rFonts w:ascii="Times New Roman" w:hAnsi="Times New Roman"/>
          <w:b w:val="false"/>
          <w:color w:val="000000"/>
          <w:sz w:val="20"/>
        </w:rPr>
        <w:t>million (the “Convertible Promissory Note”).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analyzes its convertible debt instruments for embedded attributes that may require bifurcation from the host and accounted for as derivatives. At the inception of each instrument, in the event of a modification of a debt agreement, and at each reporting date, the Company performs an analysis of the embedded features requiring bifurcation and may elect, if eligible, to account for the entire debt instrument at fair value. If the fair value option were to be elected, any changes in fair value would be recognized in the accompanying statements of operations until the instrument is settled. Under the terms of the Note Purchase Agreement, the Convertible Promissory Note may be converted at the option of the noteholder into shares of Common Stock or an equivalent equity instrument resulting from a public company event. As a result of the Business Combination, the conversion options were bifurcated and accounted for as derivatives. The derivative instrument was recorded at fair value upon recognition and was subject to remeasurement to fair value at each balance sheet date, with any changes in estimated fair value recognized in the accompanying consolidated statements of operations and comprehensive income (loss).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On September 24, 2023, the Company and L1 Energy entered into an Amendment to Note Purchase Agreement and Convertible Promissory Note (the “Convertible Note Amendment”) which amended the conversion terms and, as a result of such amendment, the conversion options no longer met the requirements to be bifurcated in accordance with </w:t>
      </w:r>
      <w:r>
        <w:rPr>
          <w:rFonts w:ascii="Times New Roman" w:hAnsi="Times New Roman"/>
          <w:b w:val="false"/>
          <w:i/>
          <w:color w:val="000000"/>
          <w:sz w:val="20"/>
        </w:rPr>
        <w:t>ASC Topic 815, Derivatives and Hedging</w:t>
      </w:r>
      <w:r>
        <w:rPr>
          <w:rFonts w:ascii="Times New Roman" w:hAnsi="Times New Roman"/>
          <w:b w:val="false"/>
          <w:color w:val="000000"/>
          <w:sz w:val="20"/>
        </w:rPr>
        <w:t>. The carrying value of the convertible note derivative liability was remeasured to fair value immediately prior to the execution of the Convertible Note Amendment and the change in fair value was recorded to the Company's condensed consolidated statements of operations and comprehensive income (loss). The carrying value of the convertible note derivative liability was reclassified to equity and was recorded into additional paid-in capital on the Company’s condensed consolidated balance sheet.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Please refer to Note 6 “Fair Value of Financial Instruments” for further details regarding the fair value of the derivative instrument. In addition, please refer Note 9 “Long-Term Debt” for additional details regarding the Convertible Promissory Note and derivative instrument.</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 June 2016, the FASB issued </w:t>
      </w:r>
      <w:r>
        <w:rPr>
          <w:rFonts w:ascii="Times New Roman" w:hAnsi="Times New Roman"/>
          <w:b w:val="false"/>
          <w:i/>
          <w:color w:val="000000"/>
          <w:sz w:val="20"/>
        </w:rPr>
        <w:t>ASU No. 2016-13, Financial Instruments - Credit Losses (ASC 326).</w:t>
      </w:r>
      <w:r>
        <w:rPr>
          <w:rFonts w:ascii="Times New Roman" w:hAnsi="Times New Roman"/>
          <w:color w:val="000000"/>
          <w:sz w:val="20"/>
        </w:rPr>
        <w:t xml:space="preserve"> </w:t>
      </w:r>
      <w:r>
        <w:rPr>
          <w:rFonts w:ascii="Times New Roman" w:hAnsi="Times New Roman"/>
          <w:b w:val="false"/>
          <w:color w:val="000000"/>
          <w:sz w:val="20"/>
        </w:rPr>
        <w:t>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Financial assets measured at amortized cost will be presented at the net amount expected to be collected by using an allowance for credit losses. This standard is effective for fiscal years beginning after December 15, 2022. The Company adopted the guidance using the modified retrospective approach as of January 1, 2023, which resulted in no cumulative effect adjustment to accumulated deficit and did not have a material impact on the Company’s condensed consolidated financial statements as of the date of adoption.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In February 2016, the FASB issued </w:t>
      </w:r>
      <w:r>
        <w:rPr>
          <w:rFonts w:ascii="Times New Roman" w:hAnsi="Times New Roman"/>
          <w:b w:val="false"/>
          <w:i/>
          <w:color w:val="000000"/>
          <w:sz w:val="20"/>
        </w:rPr>
        <w:t>ASU No. 2016-02, Leases</w:t>
      </w:r>
      <w:r>
        <w:rPr>
          <w:rFonts w:ascii="Times New Roman" w:hAnsi="Times New Roman"/>
          <w:b w:val="false"/>
          <w:color w:val="000000"/>
          <w:sz w:val="20"/>
        </w:rPr>
        <w:t xml:space="preserve">,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The standard is effective for the Company for reporting periods beginning after December 15, 2021, and interim periods within fiscal years beginning after December 15, 2022. The Company adopted annual reporting the guidance using the modified retrospective approach to apply the standard as of January 1, 2022, with no retrospective adjustments to prior periods on the Company’s annual consolidated financial statements and related notes thereto for the year ended December 31, 2022. As permitted under the new guidance, the Company elected the package of practical expedients, which allowed the Company to retain prior conclusions regarding lease identification, classification and initial direct costs. For the Company’s lease agreements with lease and non-lease components, the Company elected the practical expedient to account for these as a single lease component for all underlying classes of assets. Additionally, for short-term leases with an initial lease term of 12 months or less and with purchase options the Company is not reasonably certain will be exercised, the Company elected to not record ROU assets or corresponding lease liabilities on the Company’s consolidated balance sheet. See Note 13, </w:t>
      </w:r>
      <w:r>
        <w:rPr>
          <w:rFonts w:ascii="Times New Roman" w:hAnsi="Times New Roman"/>
          <w:color w:val="231F20"/>
          <w:sz w:val="20"/>
        </w:rPr>
        <w:t>“</w:t>
      </w:r>
      <w:r>
        <w:rPr>
          <w:rFonts w:ascii="Times New Roman" w:hAnsi="Times New Roman"/>
          <w:b w:val="false"/>
          <w:color w:val="000000"/>
          <w:sz w:val="20"/>
        </w:rPr>
        <w:t>Leases</w:t>
      </w:r>
      <w:r>
        <w:rPr>
          <w:rFonts w:ascii="Times New Roman" w:hAnsi="Times New Roman"/>
          <w:color w:val="231F20"/>
          <w:sz w:val="20"/>
        </w:rPr>
        <w:t>”</w:t>
      </w:r>
      <w:r>
        <w:rPr>
          <w:rFonts w:ascii="Times New Roman" w:hAnsi="Times New Roman"/>
          <w:color w:val="000000"/>
          <w:sz w:val="20"/>
        </w:rPr>
        <w:t xml:space="preserve"> </w:t>
      </w:r>
      <w:r>
        <w:rPr>
          <w:rFonts w:ascii="Times New Roman" w:hAnsi="Times New Roman"/>
          <w:b w:val="false"/>
          <w:color w:val="000000"/>
          <w:sz w:val="20"/>
        </w:rPr>
        <w:t>for additional information on the Company's leases following the adoption of this standard.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In August 2020, the FASB issued </w:t>
      </w:r>
      <w:r>
        <w:rPr>
          <w:rFonts w:ascii="Times New Roman" w:hAnsi="Times New Roman"/>
          <w:b w:val="false"/>
          <w:i/>
          <w:color w:val="000000"/>
          <w:sz w:val="20"/>
        </w:rPr>
        <w:t>ASU No. 2020-06,</w:t>
      </w:r>
      <w:r>
        <w:rPr>
          <w:rFonts w:ascii="Times New Roman" w:hAnsi="Times New Roman"/>
          <w:color w:val="000000"/>
          <w:sz w:val="20"/>
        </w:rPr>
        <w:t xml:space="preserve"> </w:t>
      </w:r>
      <w:r>
        <w:rPr>
          <w:rFonts w:ascii="Times New Roman" w:hAnsi="Times New Roman"/>
          <w:b w:val="false"/>
          <w:i/>
          <w:color w:val="000000"/>
          <w:sz w:val="20"/>
        </w:rPr>
        <w:t xml:space="preserve">Debt — Debt with Conversion and Other Options (Subtopic 470-20) and Derivatives and Hedging — Contracts in Entity’s Own Equity (Subtopic 815-40): Accounting for Convertible Instruments and Contracts in an Entity’s Own Equity (ASU 2020-06). </w:t>
      </w:r>
      <w:r>
        <w:rPr>
          <w:rFonts w:ascii="Times New Roman" w:hAnsi="Times New Roman"/>
          <w:b w:val="false"/>
          <w:color w:val="000000"/>
          <w:sz w:val="20"/>
        </w:rPr>
        <w:t xml:space="preserve">The goal of the </w:t>
      </w:r>
      <w:r>
        <w:rPr>
          <w:rFonts w:ascii="Times New Roman" w:hAnsi="Times New Roman"/>
          <w:b w:val="false"/>
          <w:i/>
          <w:color w:val="000000"/>
          <w:sz w:val="20"/>
        </w:rPr>
        <w:t>ASU 2020-06</w:t>
      </w:r>
      <w:r>
        <w:rPr>
          <w:rFonts w:ascii="Times New Roman" w:hAnsi="Times New Roman"/>
          <w:color w:val="000000"/>
          <w:sz w:val="20"/>
        </w:rPr>
        <w:t xml:space="preserve"> </w:t>
      </w:r>
      <w:r>
        <w:rPr>
          <w:rFonts w:ascii="Times New Roman" w:hAnsi="Times New Roman"/>
          <w:b w:val="false"/>
          <w:color w:val="000000"/>
          <w:sz w:val="20"/>
        </w:rPr>
        <w:t xml:space="preserve">is to simplify the complexity associated with applying GAAP for certain financial instruments with characteristics of liabilities and equity. More specifically, the amendments focus on the guidance for convertible instruments and derivative scope exception for contracts in an entity’s own equity. The new standard is effective for public business entities, excluding entities eligible to be smaller reporting companies as defined by the SEC, for fiscal years beginning after December 15, 2021. For all other entities, the standard is effective for fiscal years beginning after December 15, 2023, including interim periods within those fiscal years. Early adoption is permitted, but no earlier than fiscal years beginning after December 15, 2020, including interim periods within those fiscal years. Entities may adopt the guidance through either a modified retrospective method or full retrospective method. The Company adopted </w:t>
      </w:r>
      <w:r>
        <w:rPr>
          <w:rFonts w:ascii="Times New Roman" w:hAnsi="Times New Roman"/>
          <w:b w:val="false"/>
          <w:i/>
          <w:color w:val="000000"/>
          <w:sz w:val="20"/>
        </w:rPr>
        <w:t xml:space="preserve">ASU 2020-06 </w:t>
      </w:r>
      <w:r>
        <w:rPr>
          <w:rFonts w:ascii="Times New Roman" w:hAnsi="Times New Roman"/>
          <w:b w:val="false"/>
          <w:color w:val="000000"/>
          <w:sz w:val="20"/>
        </w:rPr>
        <w:t>on January 1, 2023, and determined the impact upon adoption to the consolidated financial statements is immaterial.</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In December 2019, the FASB issued </w:t>
      </w:r>
      <w:r>
        <w:rPr>
          <w:rFonts w:ascii="Times New Roman" w:hAnsi="Times New Roman"/>
          <w:b w:val="false"/>
          <w:i/>
          <w:color w:val="000000"/>
          <w:sz w:val="20"/>
        </w:rPr>
        <w:t>ASU No. 2019-12, “Income Taxes (Topic 740): Simplifying the Accounting for Income Taxes.</w:t>
      </w:r>
      <w:r>
        <w:rPr>
          <w:rFonts w:ascii="Times New Roman" w:hAnsi="Times New Roman"/>
          <w:color w:val="000000"/>
          <w:sz w:val="20"/>
        </w:rPr>
        <w:t xml:space="preserve">” </w:t>
      </w:r>
      <w:r>
        <w:rPr>
          <w:rFonts w:ascii="Times New Roman" w:hAnsi="Times New Roman"/>
          <w:b w:val="false"/>
          <w:i/>
          <w:color w:val="000000"/>
          <w:sz w:val="20"/>
        </w:rPr>
        <w:t>ASU 2019-12</w:t>
      </w:r>
      <w:r>
        <w:rPr>
          <w:rFonts w:ascii="Times New Roman" w:hAnsi="Times New Roman"/>
          <w:color w:val="000000"/>
          <w:sz w:val="20"/>
        </w:rPr>
        <w:t xml:space="preserve"> </w:t>
      </w:r>
      <w:r>
        <w:rPr>
          <w:rFonts w:ascii="Times New Roman" w:hAnsi="Times New Roman"/>
          <w:b w:val="false"/>
          <w:color w:val="000000"/>
          <w:sz w:val="20"/>
        </w:rPr>
        <w:t xml:space="preserve">removes specific exceptions to the general principles in </w:t>
      </w:r>
      <w:r>
        <w:rPr>
          <w:rFonts w:ascii="Times New Roman" w:hAnsi="Times New Roman"/>
          <w:b w:val="false"/>
          <w:i/>
          <w:color w:val="000000"/>
          <w:sz w:val="20"/>
        </w:rPr>
        <w:t>ASC Topic 740, “Accounting for Income Taxes”</w:t>
      </w:r>
      <w:r>
        <w:rPr>
          <w:rFonts w:ascii="Times New Roman" w:hAnsi="Times New Roman"/>
          <w:color w:val="000000"/>
          <w:sz w:val="20"/>
        </w:rPr>
        <w:t xml:space="preserve"> </w:t>
      </w:r>
      <w:r>
        <w:rPr>
          <w:rFonts w:ascii="Times New Roman" w:hAnsi="Times New Roman"/>
          <w:b w:val="false"/>
          <w:color w:val="000000"/>
          <w:sz w:val="20"/>
        </w:rPr>
        <w:t xml:space="preserve">(“Topic 740”) and simplifies certain GAAP requirements. </w:t>
      </w:r>
      <w:r>
        <w:rPr>
          <w:rFonts w:ascii="Times New Roman" w:hAnsi="Times New Roman"/>
          <w:b w:val="false"/>
          <w:i/>
          <w:color w:val="000000"/>
          <w:sz w:val="20"/>
        </w:rPr>
        <w:t xml:space="preserve">ASU 2019-12 </w:t>
      </w:r>
      <w:r>
        <w:rPr>
          <w:rFonts w:ascii="Times New Roman" w:hAnsi="Times New Roman"/>
          <w:b w:val="false"/>
          <w:color w:val="000000"/>
          <w:sz w:val="20"/>
        </w:rPr>
        <w:t xml:space="preserve">is effective for non-public business entities' interim periods within those fiscal years, beginning after December 15, 2022. Depending on the amendment, adoption may be applied on a retrospective, modified retrospective or prospective basis. The Company adopted </w:t>
      </w:r>
      <w:r>
        <w:rPr>
          <w:rFonts w:ascii="Times New Roman" w:hAnsi="Times New Roman"/>
          <w:b w:val="false"/>
          <w:i/>
          <w:color w:val="000000"/>
          <w:sz w:val="20"/>
        </w:rPr>
        <w:t>ASU 2019-12</w:t>
      </w:r>
      <w:r>
        <w:rPr>
          <w:rFonts w:ascii="Times New Roman" w:hAnsi="Times New Roman"/>
          <w:color w:val="000000"/>
          <w:sz w:val="20"/>
        </w:rPr>
        <w:t xml:space="preserve"> </w:t>
      </w:r>
      <w:r>
        <w:rPr>
          <w:rFonts w:ascii="Times New Roman" w:hAnsi="Times New Roman"/>
          <w:b w:val="false"/>
          <w:color w:val="000000"/>
          <w:sz w:val="20"/>
        </w:rPr>
        <w:t>on January 1, 2022, and determined the impact upon adoption to the consolidated financial statements is immaterial.</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Merger with Roth CH Acquisition IV Co.</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Business Combination was accounted for as a reverse recapitalization in accordance with GAAP. Under this method of accounting, ROCG was treated as the “acquired” company and Legacy Tigo was considered the “acquirer” for financial reporting purposes. This determination was primarily based on Legacy Tigo stockholders comprising a majority of the voting power of the Company, Legacy Tigo’s senior management comprising substantially all of the senior management of the Company, Legacy Tigo’s relative size compared to ROCG, and Legacy Tigo’s operations prior to the acquisition comprising the only ongoing operations of the Company. Accordingly, for accounting purposes, the financial statements of the Company represent a continuation of the financial statements of Legacy Tigo with the Business Combination being treated as the equivalent of Legacy Tigo issuing stock for the net assets of ROCG, accompanied by a recapitalization. The net assets of ROCG are stated at historical costs, with no goodwill or other intangible assets recorded. Operations prior to the Business Combination are presented as those of Legacy Tigo. All periods prior to the Business Combination have been retrospectively adjusted using the exchange ratio established in the Business Combination of 0.233335</w:t>
      </w:r>
      <w:r>
        <w:rPr>
          <w:rFonts w:ascii="Times New Roman" w:hAnsi="Times New Roman"/>
          <w:color w:val="000000"/>
          <w:sz w:val="20"/>
        </w:rPr>
        <w:t xml:space="preserve"> </w:t>
      </w:r>
      <w:r>
        <w:rPr>
          <w:rFonts w:ascii="Times New Roman" w:hAnsi="Times New Roman"/>
          <w:b w:val="false"/>
          <w:color w:val="000000"/>
          <w:sz w:val="20"/>
        </w:rPr>
        <w:t>(the “Exchange Ratio”) to affect the reverse recapitalization.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part of the reverse recapitalization, Legacy Tigo acquired $2.2</w:t>
      </w:r>
      <w:r>
        <w:rPr>
          <w:rFonts w:ascii="Times New Roman" w:hAnsi="Times New Roman"/>
          <w:color w:val="000000"/>
          <w:sz w:val="20"/>
        </w:rPr>
        <w:t xml:space="preserve"> </w:t>
      </w:r>
      <w:r>
        <w:rPr>
          <w:rFonts w:ascii="Times New Roman" w:hAnsi="Times New Roman"/>
          <w:b w:val="false"/>
          <w:color w:val="000000"/>
          <w:sz w:val="20"/>
        </w:rPr>
        <w:t>million of cash, $0.6</w:t>
      </w:r>
      <w:r>
        <w:rPr>
          <w:rFonts w:ascii="Times New Roman" w:hAnsi="Times New Roman"/>
          <w:color w:val="000000"/>
          <w:sz w:val="20"/>
        </w:rPr>
        <w:t xml:space="preserve"> </w:t>
      </w:r>
      <w:r>
        <w:rPr>
          <w:rFonts w:ascii="Times New Roman" w:hAnsi="Times New Roman"/>
          <w:b w:val="false"/>
          <w:color w:val="000000"/>
          <w:sz w:val="20"/>
        </w:rPr>
        <w:t>million of prepaid expenses and insurance and assumed $3,400</w:t>
      </w:r>
      <w:r>
        <w:rPr>
          <w:rFonts w:ascii="Times New Roman" w:hAnsi="Times New Roman"/>
          <w:color w:val="000000"/>
          <w:sz w:val="20"/>
        </w:rPr>
        <w:t xml:space="preserve"> </w:t>
      </w:r>
      <w:r>
        <w:rPr>
          <w:rFonts w:ascii="Times New Roman" w:hAnsi="Times New Roman"/>
          <w:b w:val="false"/>
          <w:color w:val="000000"/>
          <w:sz w:val="20"/>
        </w:rPr>
        <w:t>of accrued expenses and $61,000</w:t>
      </w:r>
      <w:r>
        <w:rPr>
          <w:rFonts w:ascii="Times New Roman" w:hAnsi="Times New Roman"/>
          <w:color w:val="000000"/>
          <w:sz w:val="20"/>
        </w:rPr>
        <w:t xml:space="preserve"> </w:t>
      </w:r>
      <w:r>
        <w:rPr>
          <w:rFonts w:ascii="Times New Roman" w:hAnsi="Times New Roman"/>
          <w:b w:val="false"/>
          <w:color w:val="000000"/>
          <w:sz w:val="20"/>
        </w:rPr>
        <w:t>of income tax payable. The Company incurred $6.1</w:t>
      </w:r>
      <w:r>
        <w:rPr>
          <w:rFonts w:ascii="Times New Roman" w:hAnsi="Times New Roman"/>
          <w:color w:val="000000"/>
          <w:sz w:val="20"/>
        </w:rPr>
        <w:t xml:space="preserve"> </w:t>
      </w:r>
      <w:r>
        <w:rPr>
          <w:rFonts w:ascii="Times New Roman" w:hAnsi="Times New Roman"/>
          <w:b w:val="false"/>
          <w:color w:val="000000"/>
          <w:sz w:val="20"/>
        </w:rPr>
        <w:t>million in transaction costs relating to the Business Combination, which were charged directly to additional paid-in capital to the extent of cash received. Transaction costs in excess of cash acquired of $3.9</w:t>
      </w:r>
      <w:r>
        <w:rPr>
          <w:rFonts w:ascii="Times New Roman" w:hAnsi="Times New Roman"/>
          <w:color w:val="000000"/>
          <w:sz w:val="20"/>
        </w:rPr>
        <w:t xml:space="preserve"> </w:t>
      </w:r>
      <w:r>
        <w:rPr>
          <w:rFonts w:ascii="Times New Roman" w:hAnsi="Times New Roman"/>
          <w:b w:val="false"/>
          <w:color w:val="000000"/>
          <w:sz w:val="20"/>
        </w:rPr>
        <w:t>million were charged to general and administrative expenses.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Immediately prior to the closing of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all shares of Legacy Tigo’s outstanding Series E, Series D, Series C-1, Series C, Series B-4, Series B-3, Series B-2, Series B-1, Series A-4, Series A-3, Series A-2, and Series A-1 convertible preferred stock were converted into an equivalent number of shares of Legacy Tigo common stock on a one-to-one</w:t>
      </w:r>
      <w:r>
        <w:rPr>
          <w:rFonts w:ascii="Times New Roman" w:hAnsi="Times New Roman"/>
          <w:color w:val="000000"/>
          <w:sz w:val="20"/>
        </w:rPr>
        <w:t xml:space="preserve"> </w:t>
      </w:r>
      <w:r>
        <w:rPr>
          <w:rFonts w:ascii="Times New Roman" w:hAnsi="Times New Roman"/>
          <w:b w:val="false"/>
          <w:color w:val="000000"/>
          <w:sz w:val="20"/>
        </w:rPr>
        <w:t>basis and additional shares of Legacy Tigo common stock were issued to settle the accumulated dividend to the Series E and Series D convertible preferred stockholders of $12.6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common warrants net of exercise were converted into an equivalent number of shares of Legacy Tigo common stock on a one-to-one basis;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preferred warrants net of exercise were converted into an equivalent number of shares of Legacy Tigo preferred stock on a one-to-one basis, and subsequently converted into an equivalent number of shares of Legacy Tigo common stock on a one-to-one basis.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At the effective time of the Business Combination, each share of Legacy Tigo common stock issued and outstanding immediately prior to the closing (including the shares of Legacy Tigo common stock issued in connection with the foregoing) were canceled and converted into the right to receive a pro rata portion of the merger consideration based on the Exchange Ratio.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Immediately following the Business Combination, there were 58,144,543</w:t>
      </w:r>
      <w:r>
        <w:rPr>
          <w:rFonts w:ascii="Times New Roman" w:hAnsi="Times New Roman"/>
          <w:color w:val="000000"/>
          <w:sz w:val="20"/>
        </w:rPr>
        <w:t xml:space="preserve"> </w:t>
      </w:r>
      <w:r>
        <w:rPr>
          <w:rFonts w:ascii="Times New Roman" w:hAnsi="Times New Roman"/>
          <w:b w:val="false"/>
          <w:color w:val="000000"/>
          <w:sz w:val="20"/>
        </w:rPr>
        <w:t>shares of Common Stock issued and outstanding, options to purchase an aggregate of 4,358,301</w:t>
      </w:r>
      <w:r>
        <w:rPr>
          <w:rFonts w:ascii="Times New Roman" w:hAnsi="Times New Roman"/>
          <w:color w:val="000000"/>
          <w:sz w:val="20"/>
        </w:rPr>
        <w:t xml:space="preserve"> </w:t>
      </w:r>
      <w:r>
        <w:rPr>
          <w:rFonts w:ascii="Times New Roman" w:hAnsi="Times New Roman"/>
          <w:b w:val="false"/>
          <w:color w:val="000000"/>
          <w:sz w:val="20"/>
        </w:rPr>
        <w:t>shares of Common Stock and 5,768,750</w:t>
      </w:r>
      <w:r>
        <w:rPr>
          <w:rFonts w:ascii="Times New Roman" w:hAnsi="Times New Roman"/>
          <w:color w:val="000000"/>
          <w:sz w:val="20"/>
        </w:rPr>
        <w:t xml:space="preserve"> </w:t>
      </w:r>
      <w:r>
        <w:rPr>
          <w:rFonts w:ascii="Times New Roman" w:hAnsi="Times New Roman"/>
          <w:b w:val="false"/>
          <w:color w:val="000000"/>
          <w:sz w:val="20"/>
        </w:rPr>
        <w:t>warrants outstanding to purchase shares of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Acquisition of Foresight Energy, Ltd.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January 25, 2023 (“Acquisition Closing Date”), Legacy Tigo acquired 100% of the equity interests of fSight. The results of fSight’s operations have been included in the condensed consolidated financial statements since the Acquisition Closing Date. fSight primarily focuses on developing and marketing a software as a service platform, based on artificial intelligence for the smart management of electrical energy. The acquisition expands the Company’s ability to leverage energy consumption and production data for solar energy producers, adding a prediction platform that provides actionable system performance data, from the grid down to the module level.</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the terms of the purchase agreement, total consideration amounted to $13.1</w:t>
      </w:r>
      <w:r>
        <w:rPr>
          <w:rFonts w:ascii="Times New Roman" w:hAnsi="Times New Roman"/>
          <w:color w:val="000000"/>
          <w:sz w:val="20"/>
        </w:rPr>
        <w:t xml:space="preserve"> </w:t>
      </w:r>
      <w:r>
        <w:rPr>
          <w:rFonts w:ascii="Times New Roman" w:hAnsi="Times New Roman"/>
          <w:b w:val="false"/>
          <w:color w:val="000000"/>
          <w:sz w:val="20"/>
        </w:rPr>
        <w:t>million which consisted of 5,598,751</w:t>
      </w:r>
      <w:r>
        <w:rPr>
          <w:rFonts w:ascii="Times New Roman" w:hAnsi="Times New Roman"/>
          <w:color w:val="000000"/>
          <w:sz w:val="20"/>
        </w:rPr>
        <w:t xml:space="preserve"> </w:t>
      </w:r>
      <w:r>
        <w:rPr>
          <w:rFonts w:ascii="Times New Roman" w:hAnsi="Times New Roman"/>
          <w:b w:val="false"/>
          <w:color w:val="000000"/>
          <w:sz w:val="20"/>
        </w:rPr>
        <w:t>shares of Legacy Tigo's common stock issued at closing with a fair value of approximately $11.0</w:t>
      </w:r>
      <w:r>
        <w:rPr>
          <w:rFonts w:ascii="Times New Roman" w:hAnsi="Times New Roman"/>
          <w:color w:val="000000"/>
          <w:sz w:val="20"/>
        </w:rPr>
        <w:t xml:space="preserve"> </w:t>
      </w:r>
      <w:r>
        <w:rPr>
          <w:rFonts w:ascii="Times New Roman" w:hAnsi="Times New Roman"/>
          <w:b w:val="false"/>
          <w:color w:val="000000"/>
          <w:sz w:val="20"/>
        </w:rPr>
        <w:t>million, 172,022</w:t>
      </w:r>
      <w:r>
        <w:rPr>
          <w:rFonts w:ascii="Times New Roman" w:hAnsi="Times New Roman"/>
          <w:color w:val="000000"/>
          <w:sz w:val="20"/>
        </w:rPr>
        <w:t xml:space="preserve"> </w:t>
      </w:r>
      <w:r>
        <w:rPr>
          <w:rFonts w:ascii="Times New Roman" w:hAnsi="Times New Roman"/>
          <w:b w:val="false"/>
          <w:color w:val="000000"/>
          <w:sz w:val="20"/>
        </w:rPr>
        <w:t>shares of Legacy Tigo's common stock with a fair value of approximately $1.4</w:t>
      </w:r>
      <w:r>
        <w:rPr>
          <w:rFonts w:ascii="Times New Roman" w:hAnsi="Times New Roman"/>
          <w:color w:val="000000"/>
          <w:sz w:val="20"/>
        </w:rPr>
        <w:t xml:space="preserve"> </w:t>
      </w:r>
      <w:r>
        <w:rPr>
          <w:rFonts w:ascii="Times New Roman" w:hAnsi="Times New Roman"/>
          <w:b w:val="false"/>
          <w:color w:val="000000"/>
          <w:sz w:val="20"/>
        </w:rPr>
        <w:t>million to be issued 12 months from closing and 86,011</w:t>
      </w:r>
      <w:r>
        <w:rPr>
          <w:rFonts w:ascii="Times New Roman" w:hAnsi="Times New Roman"/>
          <w:color w:val="000000"/>
          <w:sz w:val="20"/>
        </w:rPr>
        <w:t xml:space="preserve"> </w:t>
      </w:r>
      <w:r>
        <w:rPr>
          <w:rFonts w:ascii="Times New Roman" w:hAnsi="Times New Roman"/>
          <w:b w:val="false"/>
          <w:color w:val="000000"/>
          <w:sz w:val="20"/>
        </w:rPr>
        <w:t>shares of Legacy Tigo's common stock with a fair value of approximately $0.7</w:t>
      </w:r>
      <w:r>
        <w:rPr>
          <w:rFonts w:ascii="Times New Roman" w:hAnsi="Times New Roman"/>
          <w:color w:val="000000"/>
          <w:sz w:val="20"/>
        </w:rPr>
        <w:t xml:space="preserve"> </w:t>
      </w:r>
      <w:r>
        <w:rPr>
          <w:rFonts w:ascii="Times New Roman" w:hAnsi="Times New Roman"/>
          <w:b w:val="false"/>
          <w:color w:val="000000"/>
          <w:sz w:val="20"/>
        </w:rPr>
        <w:t>million to be issued 18 months from closing (collectively with the shares to be issued at 12 months “Contingent Shares”). Pursuant to the terms of the purchase agreement, the Contingent Shares are subject to adjustment based on certain indemnification obligations, liabilities or settlements that may arise during the contingency period, which ends 18 months following the Acquisition Closing Date. In addition to the consideration in the purchase agreement, there is an additional $0.5</w:t>
      </w:r>
      <w:r>
        <w:rPr>
          <w:rFonts w:ascii="Times New Roman" w:hAnsi="Times New Roman"/>
          <w:color w:val="000000"/>
          <w:sz w:val="20"/>
        </w:rPr>
        <w:t xml:space="preserve"> </w:t>
      </w:r>
      <w:r>
        <w:rPr>
          <w:rFonts w:ascii="Times New Roman" w:hAnsi="Times New Roman"/>
          <w:b w:val="false"/>
          <w:color w:val="000000"/>
          <w:sz w:val="20"/>
        </w:rPr>
        <w:t>million in consideration related to a loan that the Company issued to fSight prior to the Acquisition Closing Date, for a total consideration transferred of $13.7</w:t>
      </w:r>
      <w:r>
        <w:rPr>
          <w:rFonts w:ascii="Times New Roman" w:hAnsi="Times New Roman"/>
          <w:color w:val="000000"/>
          <w:sz w:val="20"/>
        </w:rPr>
        <w:t xml:space="preserve"> </w:t>
      </w:r>
      <w:r>
        <w:rPr>
          <w:rFonts w:ascii="Times New Roman" w:hAnsi="Times New Roman"/>
          <w:b w:val="false"/>
          <w:color w:val="000000"/>
          <w:sz w:val="20"/>
        </w:rPr>
        <w:t>million. The loan payable was deemed settled immediately following the Acquisition Closing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contingent shares were recorded as a liability at a fair value of approximately $2.1</w:t>
      </w:r>
      <w:r>
        <w:rPr>
          <w:rFonts w:ascii="Times New Roman" w:hAnsi="Times New Roman"/>
          <w:color w:val="000000"/>
          <w:sz w:val="20"/>
        </w:rPr>
        <w:t xml:space="preserve"> </w:t>
      </w:r>
      <w:r>
        <w:rPr>
          <w:rFonts w:ascii="Times New Roman" w:hAnsi="Times New Roman"/>
          <w:b w:val="false"/>
          <w:color w:val="000000"/>
          <w:sz w:val="20"/>
        </w:rPr>
        <w:t>million on the Acquisition Closing Date based on the fair value of Legacy Tigo's common stock at the Acquisition Closing Date. The contingent shares liability is recorded in accrued expenses and other current liabilities within the condensed consolidated balance sheet. At September 30, 2023, the liability was revalued to $1.8</w:t>
      </w:r>
      <w:r>
        <w:rPr>
          <w:rFonts w:ascii="Times New Roman" w:hAnsi="Times New Roman"/>
          <w:color w:val="000000"/>
          <w:sz w:val="20"/>
        </w:rPr>
        <w:t xml:space="preserve"> </w:t>
      </w:r>
      <w:r>
        <w:rPr>
          <w:rFonts w:ascii="Times New Roman" w:hAnsi="Times New Roman"/>
          <w:b w:val="false"/>
          <w:color w:val="000000"/>
          <w:sz w:val="20"/>
        </w:rPr>
        <w:t>million based upon the Company's common stock fair value per share on September 30, 2023. The $3.0</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gain on mark to market was recorded in the change in fair value of preferred stock warrant and contingent shares liability financial statement line item within the condensed consolidated statement of operation and comprehensive income (loss) for the three and nine months ended September 30, 2023, respectively.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The transaction was accounted for as a business combination pursuant to </w:t>
      </w:r>
      <w:r>
        <w:rPr>
          <w:rFonts w:ascii="Times New Roman" w:hAnsi="Times New Roman"/>
          <w:b w:val="false"/>
          <w:i/>
          <w:color w:val="000000"/>
          <w:sz w:val="20"/>
        </w:rPr>
        <w:t>ASC Topic 805, Business Combinations</w:t>
      </w:r>
      <w:r>
        <w:rPr>
          <w:rFonts w:ascii="Times New Roman" w:hAnsi="Times New Roman"/>
          <w:b w:val="false"/>
          <w:color w:val="000000"/>
          <w:sz w:val="20"/>
        </w:rPr>
        <w:t>, using the acquisition method of accounting and in conjunction with the acquisition, Legacy Tigo recognized $47,000</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 of acquisition-related costs during the three and nine months ended September 30, 2023, which were expensed as incurred and are recorded in general and administrative expenses on the condensed consolidated statement of operations and comprehensive income (loss).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summarizes the provisional fair values of the identifiable assets acquired and liabilities assumed at the date of the acquisition:</w:t>
      </w:r>
    </w:p>
    <w:p>
      <w:pPr>
        <w:pStyle w:val="TextBody"/>
        <w:bidi w:val="0"/>
        <w:jc w:val="both"/>
        <w:rPr/>
      </w:pPr>
      <w:r>
        <w:rPr/>
        <w:t> </w:t>
      </w:r>
    </w:p>
    <w:tbl>
      <w:tblPr>
        <w:tblW w:w="5528" w:type="dxa"/>
        <w:jc w:val="left"/>
        <w:tblInd w:w="0" w:type="dxa"/>
        <w:tblLayout w:type="fixed"/>
        <w:tblCellMar>
          <w:top w:w="28" w:type="dxa"/>
          <w:left w:w="28" w:type="dxa"/>
          <w:bottom w:w="28" w:type="dxa"/>
          <w:right w:w="28" w:type="dxa"/>
        </w:tblCellMar>
      </w:tblPr>
      <w:tblGrid>
        <w:gridCol w:w="3171"/>
        <w:gridCol w:w="146"/>
        <w:gridCol w:w="385"/>
        <w:gridCol w:w="1235"/>
        <w:gridCol w:w="59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January 25,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Consideration transferred </w:t>
            </w:r>
            <w:r>
              <w:rPr>
                <w:rFonts w:ascii="Times New Roman" w:hAnsi="Times New Roman"/>
                <w:b/>
                <w:color w:val="000000"/>
                <w:sz w:val="13"/>
              </w:rPr>
              <w:t>(1)</w:t>
            </w: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Fair value of common stock issued</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Fair value of contingent shares</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Deemed settlement of loan payable</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consideration</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15,250</w:t>
            </w:r>
          </w:p>
        </w:tc>
        <w:tc>
          <w:tcPr>
            <w:tcW w:w="591" w:type="dxa"/>
            <w:tcBorders/>
            <w:shd w:fill="CFF0FC" w:val="cle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left"/>
              <w:rPr/>
            </w:pPr>
            <w:r>
              <w:rPr/>
              <w:t> </w:t>
            </w:r>
          </w:p>
        </w:tc>
        <w:tc>
          <w:tcPr>
            <w:tcW w:w="12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13,668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reported provisional amounts presented above have been updated from the Company's S-1 filed with the SEC on June 22, 2023. The Company recorded an out of period adjustment related to the adjustment of the provisional fair market value of the Legacy Tigo common stock that was used to develop the calculation of the purchase price consideration. The Company does not believe that the adjustment had a material impact on its condensed consolidated statements of operations and comprehensive income (loss), condensed consolidated balance sheets, or condensed consolidated statements of cash flows in any periods previously reported.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amounts above represent the Company’s provisional fair value estimates related to the acquisition as of January 25, 2023, and are subject to subsequent adjustments as additional information is obtained during the applicable measurement period. The primary areas of estimates that are not yet finalized include certain tangible assets acquired and liabilities assumed, as well as the identifiable intangible assets. The purchase price was allocated to the tangible assets and identifiable intangible assets acquired and liabilities assumed based on their acquisition date estimated fair values. Accounts receivable and property and equipment acquired were not material in size or scope, and the carrying amounts of these assets represented their fair value. The identifiable intangible assets consist of developed technology and customer relationships which were assigned fair values of approximately $1.8</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 The developed technology and customer relationships are both being amortized on a straight-line basis over 10</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221F1F"/>
          <w:sz w:val="20"/>
        </w:rPr>
        <w:t>Goodwill represents the excess of the purchase price over the identifiable tangible and intangible assets acquired in addition to liabilities assumed arising from the business combination.</w:t>
      </w:r>
      <w:r>
        <w:rPr>
          <w:rFonts w:ascii="Times New Roman" w:hAnsi="Times New Roman"/>
          <w:color w:val="000000"/>
          <w:sz w:val="20"/>
        </w:rPr>
        <w:t xml:space="preserve"> </w:t>
      </w:r>
      <w:r>
        <w:rPr>
          <w:rFonts w:ascii="Times New Roman" w:hAnsi="Times New Roman"/>
          <w:b w:val="false"/>
          <w:color w:val="000000"/>
          <w:sz w:val="20"/>
        </w:rPr>
        <w:t>The Company believes the goodwill related to the acquisition was attributable to the expected synergies, value of the assembled workforce, and the collective experience of the management team with regards to its operations, customers, and industry. As a non-taxable stock acquisition, the value attributable to the acquired intangibles and goodwill are not tax deductible.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Pro Forma Information (Unaudited)</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presents supplemental pro-forma information for the three and nine months ended September 30, 2023, and 2022 as if the merger with fSight had occurred on January 1, 2022. These amounts have been calculated after applying the Company's accounting policies and are based upon currently available information.</w:t>
      </w:r>
      <w:r>
        <w:rPr>
          <w:rFonts w:ascii="Times New Roman" w:hAnsi="Times New Roman"/>
          <w:color w:val="000000"/>
          <w:sz w:val="20"/>
        </w:rPr>
        <w:t xml:space="preserve"> </w:t>
      </w:r>
    </w:p>
    <w:p>
      <w:pPr>
        <w:pStyle w:val="TextBody"/>
        <w:bidi w:val="0"/>
        <w:jc w:val="both"/>
        <w:rPr/>
      </w:pPr>
      <w:r>
        <w:rPr/>
        <w:t> </w:t>
      </w:r>
    </w:p>
    <w:tbl>
      <w:tblPr>
        <w:tblW w:w="7855" w:type="dxa"/>
        <w:jc w:val="left"/>
        <w:tblInd w:w="0" w:type="dxa"/>
        <w:tblLayout w:type="fixed"/>
        <w:tblCellMar>
          <w:top w:w="28" w:type="dxa"/>
          <w:left w:w="28" w:type="dxa"/>
          <w:bottom w:w="28" w:type="dxa"/>
          <w:right w:w="28" w:type="dxa"/>
        </w:tblCellMar>
      </w:tblPr>
      <w:tblGrid>
        <w:gridCol w:w="1731"/>
        <w:gridCol w:w="146"/>
        <w:gridCol w:w="274"/>
        <w:gridCol w:w="878"/>
        <w:gridCol w:w="189"/>
        <w:gridCol w:w="189"/>
        <w:gridCol w:w="274"/>
        <w:gridCol w:w="878"/>
        <w:gridCol w:w="166"/>
        <w:gridCol w:w="146"/>
        <w:gridCol w:w="252"/>
        <w:gridCol w:w="933"/>
        <w:gridCol w:w="174"/>
        <w:gridCol w:w="174"/>
        <w:gridCol w:w="252"/>
        <w:gridCol w:w="808"/>
        <w:gridCol w:w="391"/>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righ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136,056</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50,580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13,644</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(8,154</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Information of Operating Results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three months ended September 30, 2023, the Company’s condensed consolidated statement of operations included revenue, net of $0.2</w:t>
      </w:r>
      <w:r>
        <w:rPr>
          <w:rFonts w:ascii="Times New Roman" w:hAnsi="Times New Roman"/>
          <w:color w:val="000000"/>
          <w:sz w:val="20"/>
        </w:rPr>
        <w:t xml:space="preserve"> </w:t>
      </w:r>
      <w:r>
        <w:rPr>
          <w:rFonts w:ascii="Times New Roman" w:hAnsi="Times New Roman"/>
          <w:b w:val="false"/>
          <w:color w:val="000000"/>
          <w:sz w:val="20"/>
        </w:rPr>
        <w:t>million and a net loss of $0.4</w:t>
      </w:r>
      <w:r>
        <w:rPr>
          <w:rFonts w:ascii="Times New Roman" w:hAnsi="Times New Roman"/>
          <w:color w:val="000000"/>
          <w:sz w:val="20"/>
        </w:rPr>
        <w:t xml:space="preserve"> </w:t>
      </w:r>
      <w:r>
        <w:rPr>
          <w:rFonts w:ascii="Times New Roman" w:hAnsi="Times New Roman"/>
          <w:b w:val="false"/>
          <w:color w:val="000000"/>
          <w:sz w:val="20"/>
        </w:rPr>
        <w:t>million attributable to fSight. For the nine months ended September 30, 2023, the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Company’s condensed consolidated statement of operations included revenue, net of $0.4</w:t>
      </w:r>
      <w:r>
        <w:rPr>
          <w:rFonts w:ascii="Times New Roman" w:hAnsi="Times New Roman"/>
          <w:color w:val="000000"/>
          <w:sz w:val="20"/>
        </w:rPr>
        <w:t xml:space="preserve"> </w:t>
      </w:r>
      <w:r>
        <w:rPr>
          <w:rFonts w:ascii="Times New Roman" w:hAnsi="Times New Roman"/>
          <w:b w:val="false"/>
          <w:color w:val="000000"/>
          <w:sz w:val="20"/>
        </w:rPr>
        <w:t>million and a net loss of $0.9</w:t>
      </w:r>
      <w:r>
        <w:rPr>
          <w:rFonts w:ascii="Times New Roman" w:hAnsi="Times New Roman"/>
          <w:color w:val="000000"/>
          <w:sz w:val="20"/>
        </w:rPr>
        <w:t xml:space="preserve"> </w:t>
      </w:r>
      <w:r>
        <w:rPr>
          <w:rFonts w:ascii="Times New Roman" w:hAnsi="Times New Roman"/>
          <w:b w:val="false"/>
          <w:color w:val="000000"/>
          <w:sz w:val="20"/>
        </w:rPr>
        <w:t>million attributable to fSight.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Basic net income (loss) per share of common stock is computed by dividing net income (loss) attributable to common stockholders by the weighted-average number of shares of common stock outstanding during each period, without consideration for potential dilutive shares of common stock. Diluted net income (loss) per share of common stock is computed by dividing the net income (loss) attributable to common stockholders by the weighted-average number of common share equivalents outstanding for the period determined using the treasury-stock method and if-converted method, as applicable. Basic and diluted net income (loss) per share attributable to common stockholders is presented in conformity with the two-class method required for participating securities, which include convertible preferred stock.</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the two-class method, net income (loss) is adjusted by the difference between the fair value of consideration transferred and the carrying amount of convertible preferred stock during periods where the Company redeems its convertible preferred stock. The remaining earnings (undistributed earnings) are allocated to common stock and each series of convertible preferred stock to the extent that each preferred security may share in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 In periods in which the Company reports a net loss, diluted net loss per share is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sets forth the computation of basic and diluted net income (loss) per share to common stockholders: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934"/>
        <w:gridCol w:w="146"/>
        <w:gridCol w:w="211"/>
        <w:gridCol w:w="1036"/>
        <w:gridCol w:w="166"/>
        <w:gridCol w:w="146"/>
        <w:gridCol w:w="211"/>
        <w:gridCol w:w="931"/>
        <w:gridCol w:w="166"/>
        <w:gridCol w:w="146"/>
        <w:gridCol w:w="211"/>
        <w:gridCol w:w="1036"/>
        <w:gridCol w:w="166"/>
        <w:gridCol w:w="146"/>
        <w:gridCol w:w="211"/>
        <w:gridCol w:w="931"/>
        <w:gridCol w:w="411"/>
      </w:tblGrid>
      <w:tr>
        <w:trPr/>
        <w:tc>
          <w:tcPr>
            <w:tcW w:w="3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income (loss) per common share calculation:</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93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Undistributed earnings to preferred stock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 outstanding – 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58,408,441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31,070,476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4,852,696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per share of common stock – 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vAlign w:val="center"/>
          </w:tcPr>
          <w:p>
            <w:pPr>
              <w:pStyle w:val="TableContents"/>
              <w:bidi w:val="0"/>
              <w:spacing w:before="0" w:after="283"/>
              <w:jc w:val="left"/>
              <w:rPr>
                <w:sz w:val="4"/>
                <w:szCs w:val="4"/>
              </w:rPr>
            </w:pPr>
            <w:r>
              <w:rPr>
                <w:sz w:val="4"/>
                <w:szCs w:val="4"/>
              </w:rPr>
            </w:r>
          </w:p>
        </w:tc>
        <w:tc>
          <w:tcPr>
            <w:tcW w:w="411" w:type="dxa"/>
            <w:tcBorders/>
            <w:shd w:fill="CFF0FC" w:val="clear"/>
            <w:vAlign w:val="center"/>
          </w:tcPr>
          <w:p>
            <w:pPr>
              <w:pStyle w:val="TableContents"/>
              <w:bidi w:val="0"/>
              <w:spacing w:before="0" w:after="283"/>
              <w:jc w:val="right"/>
              <w:rPr/>
            </w:pPr>
            <w:r>
              <w:rPr/>
              <w:t> </w:t>
            </w:r>
          </w:p>
        </w:tc>
      </w:tr>
      <w:tr>
        <w:trPr/>
        <w:tc>
          <w:tcPr>
            <w:tcW w:w="393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net income (loss) per common share calculation:</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vAlign w:val="center"/>
          </w:tcPr>
          <w:p>
            <w:pPr>
              <w:pStyle w:val="TableContents"/>
              <w:bidi w:val="0"/>
              <w:spacing w:before="0" w:after="283"/>
              <w:jc w:val="left"/>
              <w:rPr>
                <w:sz w:val="4"/>
                <w:szCs w:val="4"/>
              </w:rPr>
            </w:pPr>
            <w:r>
              <w:rPr>
                <w:sz w:val="4"/>
                <w:szCs w:val="4"/>
              </w:rPr>
            </w:r>
          </w:p>
        </w:tc>
        <w:tc>
          <w:tcPr>
            <w:tcW w:w="411" w:type="dxa"/>
            <w:tcBorders/>
            <w:shd w:fill="FFFFFF" w:val="clear"/>
            <w:vAlign w:val="center"/>
          </w:tcPr>
          <w:p>
            <w:pPr>
              <w:pStyle w:val="TableContents"/>
              <w:bidi w:val="0"/>
              <w:spacing w:before="0" w:after="283"/>
              <w:jc w:val="right"/>
              <w:rPr/>
            </w:pPr>
            <w:r>
              <w:rPr/>
              <w:t> </w:t>
            </w:r>
          </w:p>
        </w:tc>
      </w:tr>
      <w:tr>
        <w:trPr/>
        <w:tc>
          <w:tcPr>
            <w:tcW w:w="39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 attributable to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Reverse: interest expense and change in fair value on derivative liability</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attributable to common stockholders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Undistributed earnings to preferred stock stockholders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attributable to common stockholders – 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 outstanding – basic</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58,408,441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31,070,476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4,852,696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3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Outstanding options and restricted stock units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3,727,831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93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Legacy Tigo warrants and common stock warrants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93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Convertible promissory note</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5,305,437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5,130,532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 – diluted</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68,368,758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4,908,232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40,487,517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4,852,696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per share of common stock – diluted</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excluded the effect of the below elements from our calculation of diluted income (loss) per share, as their inclusion would have been anti-dilutive. These amounts represent the number of instruments outstanding at the end of the period.</w:t>
      </w:r>
      <w:r>
        <w:rPr>
          <w:rFonts w:ascii="Times New Roman" w:hAnsi="Times New Roman"/>
          <w:color w:val="000000"/>
          <w:sz w:val="20"/>
        </w:rPr>
        <w:t xml:space="preserve"> </w:t>
      </w:r>
    </w:p>
    <w:p>
      <w:pPr>
        <w:pStyle w:val="TextBody"/>
        <w:bidi w:val="0"/>
        <w:jc w:val="left"/>
        <w:rPr/>
      </w:pPr>
      <w:r>
        <w:rPr/>
        <w:t> </w:t>
      </w:r>
    </w:p>
    <w:tbl>
      <w:tblPr>
        <w:tblW w:w="5464" w:type="dxa"/>
        <w:jc w:val="left"/>
        <w:tblInd w:w="0" w:type="dxa"/>
        <w:tblLayout w:type="fixed"/>
        <w:tblCellMar>
          <w:top w:w="28" w:type="dxa"/>
          <w:left w:w="28" w:type="dxa"/>
          <w:bottom w:w="28" w:type="dxa"/>
          <w:right w:w="28" w:type="dxa"/>
        </w:tblCellMar>
      </w:tblPr>
      <w:tblGrid>
        <w:gridCol w:w="3061"/>
        <w:gridCol w:w="146"/>
        <w:gridCol w:w="146"/>
        <w:gridCol w:w="346"/>
        <w:gridCol w:w="146"/>
        <w:gridCol w:w="146"/>
        <w:gridCol w:w="146"/>
        <w:gridCol w:w="1036"/>
        <w:gridCol w:w="2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46,467,565</w:t>
            </w:r>
          </w:p>
        </w:tc>
        <w:tc>
          <w:tcPr>
            <w:tcW w:w="29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preferred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248,372</w:t>
            </w:r>
          </w:p>
        </w:tc>
        <w:tc>
          <w:tcPr>
            <w:tcW w:w="29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1,915,372</w:t>
            </w:r>
          </w:p>
        </w:tc>
        <w:tc>
          <w:tcPr>
            <w:tcW w:w="29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4,529,882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53,161,191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b w:val="false"/>
          <w:i/>
          <w:color w:val="221F1F"/>
          <w:sz w:val="20"/>
        </w:rPr>
      </w:pPr>
      <w:r>
        <w:rPr>
          <w:rFonts w:ascii="Times New Roman" w:hAnsi="Times New Roman"/>
          <w:b w:val="false"/>
          <w:i/>
          <w:color w:val="221F1F"/>
          <w:sz w:val="20"/>
        </w:rPr>
        <w:t>Fair Value Measurements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
        <w:gridCol w:w="9562"/>
      </w:tblGrid>
      <w:tr>
        <w:trPr/>
        <w:tc>
          <w:tcPr>
            <w:tcW w:w="643" w:type="dxa"/>
            <w:tcBorders/>
            <w:vAlign w:val="center"/>
          </w:tcPr>
          <w:p>
            <w:pPr>
              <w:pStyle w:val="TableContents"/>
              <w:bidi w:val="0"/>
              <w:spacing w:before="0" w:after="283"/>
              <w:jc w:val="left"/>
              <w:rPr>
                <w:sz w:val="4"/>
                <w:szCs w:val="4"/>
              </w:rPr>
            </w:pPr>
            <w:r>
              <w:rPr>
                <w:sz w:val="4"/>
                <w:szCs w:val="4"/>
              </w:rPr>
            </w:r>
          </w:p>
        </w:tc>
        <w:tc>
          <w:tcPr>
            <w:tcW w:w="9562" w:type="dxa"/>
            <w:tcBorders/>
            <w:vAlign w:val="center"/>
          </w:tcPr>
          <w:p>
            <w:pPr>
              <w:pStyle w:val="TableContents"/>
              <w:bidi w:val="0"/>
              <w:spacing w:before="0" w:after="283"/>
              <w:jc w:val="left"/>
              <w:rPr>
                <w:sz w:val="4"/>
                <w:szCs w:val="4"/>
              </w:rPr>
            </w:pPr>
            <w:r>
              <w:rPr>
                <w:sz w:val="4"/>
                <w:szCs w:val="4"/>
              </w:rPr>
            </w:r>
          </w:p>
        </w:tc>
      </w:tr>
      <w:tr>
        <w:trPr/>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Level 1:</w:t>
            </w:r>
          </w:p>
        </w:tc>
        <w:tc>
          <w:tcPr>
            <w:tcW w:w="956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Quoted market prices in active markets for identical assets or liabilities;</w:t>
            </w:r>
            <w:r>
              <w:rPr>
                <w:rFonts w:ascii="Times New Roman" w:hAnsi="Times New Roman"/>
                <w:color w:val="000000"/>
                <w:sz w:val="20"/>
              </w:rPr>
              <w:t xml:space="preserve">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Level 2:</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b w:val="false"/>
                <w:color w:val="000000"/>
                <w:sz w:val="20"/>
              </w:rPr>
              <w:t>Quoted prices for similar instruments in active markets; quoted prices for identical or similar instruments in markets that are not active; and model-derived valuations in which significant inputs and significant value drivers are observable in active markets; and</w:t>
            </w:r>
            <w:r>
              <w:rPr>
                <w:rFonts w:ascii="Times New Roman" w:hAnsi="Times New Roman"/>
                <w:color w:val="000000"/>
                <w:sz w:val="20"/>
              </w:rPr>
              <w:t xml:space="preserve"> </w:t>
            </w:r>
          </w:p>
        </w:tc>
      </w:tr>
      <w:tr>
        <w:trPr/>
        <w:tc>
          <w:tcPr>
            <w:tcW w:w="643"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Level 3:</w:t>
            </w:r>
          </w:p>
        </w:tc>
        <w:tc>
          <w:tcPr>
            <w:tcW w:w="9562"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b w:val="false"/>
                <w:color w:val="000000"/>
                <w:sz w:val="20"/>
              </w:rPr>
              <w:t>Fair value measurements derived from valuation techniques in which one or more significant inputs or significant value drivers are unobservable.</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fair value hierarchy table presents information about the Company’s assets and liabilities measured at fair value on a recurring basis:</w:t>
      </w:r>
      <w:r>
        <w:rPr>
          <w:rFonts w:ascii="Times New Roman" w:hAnsi="Times New Roman"/>
          <w:color w:val="000000"/>
          <w:sz w:val="20"/>
        </w:rPr>
        <w:t xml:space="preserve"> </w:t>
      </w:r>
    </w:p>
    <w:p>
      <w:pPr>
        <w:pStyle w:val="TextBody"/>
        <w:bidi w:val="0"/>
        <w:jc w:val="left"/>
        <w:rPr/>
      </w:pPr>
      <w:r>
        <w:rPr/>
        <w:t> </w:t>
      </w:r>
    </w:p>
    <w:tbl>
      <w:tblPr>
        <w:tblW w:w="8076" w:type="dxa"/>
        <w:jc w:val="left"/>
        <w:tblInd w:w="0" w:type="dxa"/>
        <w:tblLayout w:type="fixed"/>
        <w:tblCellMar>
          <w:top w:w="28" w:type="dxa"/>
          <w:left w:w="28" w:type="dxa"/>
          <w:bottom w:w="28" w:type="dxa"/>
          <w:right w:w="28" w:type="dxa"/>
        </w:tblCellMar>
      </w:tblPr>
      <w:tblGrid>
        <w:gridCol w:w="4416"/>
        <w:gridCol w:w="146"/>
        <w:gridCol w:w="211"/>
        <w:gridCol w:w="571"/>
        <w:gridCol w:w="146"/>
        <w:gridCol w:w="146"/>
        <w:gridCol w:w="211"/>
        <w:gridCol w:w="676"/>
        <w:gridCol w:w="146"/>
        <w:gridCol w:w="146"/>
        <w:gridCol w:w="235"/>
        <w:gridCol w:w="635"/>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(Level 3)</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2023</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accounts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Contingent shares liability from fSight acquisition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Preferred stock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jc w:val="both"/>
        <w:rPr>
          <w:rFonts w:ascii="Times New Roman" w:hAnsi="Times New Roman"/>
          <w:b w:val="false"/>
          <w:color w:val="000000"/>
          <w:sz w:val="16"/>
        </w:rPr>
      </w:pPr>
      <w:r>
        <w:rPr>
          <w:rFonts w:ascii="Times New Roman" w:hAnsi="Times New Roman"/>
          <w:b w:val="false"/>
          <w:color w:val="000000"/>
          <w:sz w:val="16"/>
        </w:rPr>
        <w:t>The Company utilized the Black-Scholes options pricing model to fair value the preferred stock warrant liability.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is a summary of the changes in fair value of the Company’s marketable securities as of September 30, 2023:</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88"/>
        <w:gridCol w:w="146"/>
        <w:gridCol w:w="282"/>
        <w:gridCol w:w="906"/>
        <w:gridCol w:w="146"/>
        <w:gridCol w:w="146"/>
        <w:gridCol w:w="466"/>
        <w:gridCol w:w="766"/>
        <w:gridCol w:w="146"/>
        <w:gridCol w:w="146"/>
        <w:gridCol w:w="357"/>
        <w:gridCol w:w="816"/>
        <w:gridCol w:w="166"/>
        <w:gridCol w:w="146"/>
        <w:gridCol w:w="211"/>
        <w:gridCol w:w="676"/>
        <w:gridCol w:w="595"/>
      </w:tblGrid>
      <w:tr>
        <w:trPr/>
        <w:tc>
          <w:tcPr>
            <w:tcW w:w="4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08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11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5" w:type="dxa"/>
            <w:tcBorders/>
            <w:shd w:fill="FFFFFF" w:val="clear"/>
            <w:vAlign w:val="center"/>
          </w:tcPr>
          <w:p>
            <w:pPr>
              <w:pStyle w:val="TableContents"/>
              <w:bidi w:val="0"/>
              <w:spacing w:before="0" w:after="283"/>
              <w:jc w:val="right"/>
              <w:rPr/>
            </w:pPr>
            <w:r>
              <w:rPr/>
              <w:t> </w:t>
            </w:r>
          </w:p>
        </w:tc>
      </w:tr>
      <w:tr>
        <w:trPr/>
        <w:tc>
          <w:tcPr>
            <w:tcW w:w="40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40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17,285</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17,155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34,440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assets</w:t>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5" w:type="dxa"/>
            <w:tcBorders/>
            <w:shd w:fill="CFF0FC" w:val="clear"/>
            <w:vAlign w:val="center"/>
          </w:tcPr>
          <w:p>
            <w:pPr>
              <w:pStyle w:val="TableContents"/>
              <w:bidi w:val="0"/>
              <w:spacing w:before="0" w:after="283"/>
              <w:ind w:left="0" w:right="0" w:firstLine="200"/>
              <w:jc w:val="right"/>
              <w:rPr/>
            </w:pPr>
            <w:r>
              <w:rPr/>
              <w:t> </w:t>
            </w:r>
          </w:p>
        </w:tc>
      </w:tr>
      <w:tr>
        <w:trPr/>
        <w:tc>
          <w:tcPr>
            <w:tcW w:w="40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3,092</w:t>
            </w:r>
          </w:p>
        </w:tc>
        <w:tc>
          <w:tcPr>
            <w:tcW w:w="595" w:type="dxa"/>
            <w:tcBorders/>
            <w:shd w:fill="FFFFFF" w:val="cle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agency securities</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08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available-for-sale marketable securities</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38,775</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available-for-sale securities consisted of investments that mature within approximately one to two years.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fair value of the preferred stock warrants was calculated using the Black-Scholes option pricing model and is revalued to fair value at the end of each reporting period until the earlier of the exercise or expiration of the preferred stock warrants. As a part of the Business Combination, Legacy Tigo preferred stock warrants were converted into the Legacy Tigo common stock at the conversion rate in effect immediately prior to the consummation of the Business Combination. Please see Note 3, “Merger with Roth CH Acquisition IV Co.” for additional information. The fair value of the warrant liabilities was estimated using the Black-Scholes option pricing model using the following assumptions:</w:t>
      </w:r>
    </w:p>
    <w:p>
      <w:pPr>
        <w:pStyle w:val="TextBody"/>
        <w:bidi w:val="0"/>
        <w:jc w:val="both"/>
        <w:rPr/>
      </w:pPr>
      <w:r>
        <w:rPr/>
        <w:t> </w:t>
      </w:r>
    </w:p>
    <w:tbl>
      <w:tblPr>
        <w:tblW w:w="7661" w:type="dxa"/>
        <w:jc w:val="left"/>
        <w:tblInd w:w="0" w:type="dxa"/>
        <w:tblLayout w:type="fixed"/>
        <w:tblCellMar>
          <w:top w:w="28" w:type="dxa"/>
          <w:left w:w="28" w:type="dxa"/>
          <w:bottom w:w="28" w:type="dxa"/>
          <w:right w:w="28" w:type="dxa"/>
        </w:tblCellMar>
      </w:tblPr>
      <w:tblGrid>
        <w:gridCol w:w="4066"/>
        <w:gridCol w:w="146"/>
        <w:gridCol w:w="407"/>
        <w:gridCol w:w="898"/>
        <w:gridCol w:w="146"/>
        <w:gridCol w:w="146"/>
        <w:gridCol w:w="471"/>
        <w:gridCol w:w="1044"/>
        <w:gridCol w:w="14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May 23, 2023 </w:t>
              <w:br/>
              <w:t>(Merger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 - 70%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 - 76%</w:t>
            </w:r>
          </w:p>
        </w:tc>
        <w:tc>
          <w:tcPr>
            <w:tcW w:w="146" w:type="dxa"/>
            <w:tcBorders/>
            <w:shd w:fill="CFF0FC"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 - 4.28%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 - 4.34%</w:t>
            </w:r>
          </w:p>
        </w:tc>
        <w:tc>
          <w:tcPr>
            <w:tcW w:w="14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2.0</w:t>
            </w:r>
            <w:r>
              <w:rPr>
                <w:rFonts w:ascii="Times New Roman" w:hAnsi="Times New Roman"/>
                <w:color w:val="000000"/>
                <w:sz w:val="20"/>
              </w:rPr>
              <w:t> </w:t>
            </w:r>
            <w:r>
              <w:rPr>
                <w:rFonts w:ascii="Times New Roman" w:hAnsi="Times New Roman"/>
                <w:b w:val="false"/>
                <w:color w:val="000000"/>
                <w:sz w:val="20"/>
              </w:rPr>
              <w:t>- 2.6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2.4</w:t>
            </w:r>
            <w:r>
              <w:rPr>
                <w:rFonts w:ascii="Times New Roman" w:hAnsi="Times New Roman"/>
                <w:color w:val="000000"/>
                <w:sz w:val="20"/>
              </w:rPr>
              <w:t> </w:t>
            </w:r>
            <w:r>
              <w:rPr>
                <w:rFonts w:ascii="Times New Roman" w:hAnsi="Times New Roman"/>
                <w:b w:val="false"/>
                <w:color w:val="000000"/>
                <w:sz w:val="20"/>
              </w:rPr>
              <w:t>- 3.0</w:t>
            </w:r>
          </w:p>
        </w:tc>
        <w:tc>
          <w:tcPr>
            <w:tcW w:w="146" w:type="dxa"/>
            <w:tcBorders/>
            <w:shd w:fill="CFF0FC"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of Series C convertible preferred stock</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4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table presented below is a summary of the changes in fair value of the Company’s preferred stock warrant liability which was exercised immediately prior to the Business Combination into Legacy Tigo preferred stock and subsequently converted into Legacy Tigo common stock. Upon the consummation of the Business Combination, such shares of Legacy Tigo common stock were converted to shares of Common Stock. Please see Note 3, “Merger with Roth CH Acquisition IV Co.” for additional information.</w:t>
      </w:r>
    </w:p>
    <w:p>
      <w:pPr>
        <w:pStyle w:val="TextBody"/>
        <w:bidi w:val="0"/>
        <w:jc w:val="both"/>
        <w:rPr/>
      </w:pPr>
      <w:r>
        <w:rPr/>
        <w:t> </w:t>
      </w:r>
    </w:p>
    <w:tbl>
      <w:tblPr>
        <w:tblW w:w="4303" w:type="dxa"/>
        <w:jc w:val="left"/>
        <w:tblInd w:w="0" w:type="dxa"/>
        <w:tblLayout w:type="fixed"/>
        <w:tblCellMar>
          <w:top w:w="28" w:type="dxa"/>
          <w:left w:w="28" w:type="dxa"/>
          <w:bottom w:w="28" w:type="dxa"/>
          <w:right w:w="28" w:type="dxa"/>
        </w:tblCellMar>
      </w:tblPr>
      <w:tblGrid>
        <w:gridCol w:w="2641"/>
        <w:gridCol w:w="146"/>
        <w:gridCol w:w="327"/>
        <w:gridCol w:w="978"/>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preferred stock </w:t>
              <w:br/>
              <w:t>warrant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w:t>
            </w:r>
          </w:p>
        </w:tc>
        <w:tc>
          <w:tcPr>
            <w:tcW w:w="2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1,507</w:t>
            </w:r>
          </w:p>
        </w:tc>
        <w:tc>
          <w:tcPr>
            <w:tcW w:w="2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w:t>
            </w:r>
          </w:p>
        </w:tc>
        <w:tc>
          <w:tcPr>
            <w:tcW w:w="2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warrants</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table presented below is a summary of the changes in fair value of the Company’s Level 3 financial instruments.</w:t>
      </w:r>
      <w:r>
        <w:rPr>
          <w:rFonts w:ascii="Times New Roman" w:hAnsi="Times New Roman"/>
          <w:color w:val="000000"/>
          <w:sz w:val="20"/>
        </w:rPr>
        <w:t xml:space="preserve"> </w:t>
      </w:r>
      <w:r>
        <w:rPr>
          <w:rFonts w:ascii="Times New Roman" w:hAnsi="Times New Roman"/>
          <w:b w:val="false"/>
          <w:color w:val="000000"/>
          <w:sz w:val="20"/>
        </w:rPr>
        <w:t xml:space="preserve">The contingent shares from the fSight acquisition (Note 4) were initially classified as a Level 3 measurement and upon the Merger were transferred out of Level 3 into Level 1, as they are now valued on the observable stock price of the Company. In addition, the Company bifurcated the conversion options associated with the convertible promissory notes and separately accounted for them as a derivative liability. On September 24, 2023, the Company and L1 Energy entered into the Convertible Note Amendment. As a result of the Convertible Note Amendment, the conversion options no longer meet the requirements to be bifurcated into a convertible note derivative liability in accordance with </w:t>
      </w:r>
      <w:r>
        <w:rPr>
          <w:rFonts w:ascii="Times New Roman" w:hAnsi="Times New Roman"/>
          <w:b w:val="false"/>
          <w:i/>
          <w:color w:val="000000"/>
          <w:sz w:val="20"/>
        </w:rPr>
        <w:t>ASC 815, Derivatives and Hedging</w:t>
      </w:r>
      <w:r>
        <w:rPr>
          <w:rFonts w:ascii="Times New Roman" w:hAnsi="Times New Roman"/>
          <w:b w:val="false"/>
          <w:color w:val="000000"/>
          <w:sz w:val="20"/>
        </w:rPr>
        <w:t>. The carrying value of the convertible note derivative liability was remeasured to fair value immediately prior to the execution of the Convertible Note Amendment and was reclassified to equity. The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reclassification was recorded in additional paid-in capital on the Company’s condensed consolidated balance sheet. Please refer to Note 9 “Long-Term Debt” for additional details regarding the derivative instrument.</w:t>
      </w:r>
      <w:r>
        <w:rPr>
          <w:rFonts w:ascii="Times New Roman" w:hAnsi="Times New Roman"/>
          <w:color w:val="000000"/>
          <w:sz w:val="20"/>
        </w:rPr>
        <w:t xml:space="preserve"> </w:t>
      </w:r>
    </w:p>
    <w:p>
      <w:pPr>
        <w:pStyle w:val="TextBody"/>
        <w:bidi w:val="0"/>
        <w:jc w:val="both"/>
        <w:rPr/>
      </w:pPr>
      <w:r>
        <w:rPr/>
        <w:t> </w:t>
      </w:r>
    </w:p>
    <w:tbl>
      <w:tblPr>
        <w:tblW w:w="6520" w:type="dxa"/>
        <w:jc w:val="left"/>
        <w:tblInd w:w="0" w:type="dxa"/>
        <w:tblLayout w:type="fixed"/>
        <w:tblCellMar>
          <w:top w:w="28" w:type="dxa"/>
          <w:left w:w="28" w:type="dxa"/>
          <w:bottom w:w="28" w:type="dxa"/>
          <w:right w:w="28" w:type="dxa"/>
        </w:tblCellMar>
      </w:tblPr>
      <w:tblGrid>
        <w:gridCol w:w="2641"/>
        <w:gridCol w:w="146"/>
        <w:gridCol w:w="443"/>
        <w:gridCol w:w="1327"/>
        <w:gridCol w:w="166"/>
        <w:gridCol w:w="146"/>
        <w:gridCol w:w="321"/>
        <w:gridCol w:w="1119"/>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 xml:space="preserve">contingent shares </w:t>
              <w:br/>
              <w:t>from fSight acquisition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of </w:t>
              <w:br/>
              <w:t>derivative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Fair value at inception</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23,525</w:t>
            </w:r>
          </w:p>
        </w:tc>
        <w:tc>
          <w:tcPr>
            <w:tcW w:w="21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1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(12,247</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Transfer out of level 3</w:t>
            </w:r>
          </w:p>
        </w:tc>
        <w:tc>
          <w:tcPr>
            <w:tcW w:w="146" w:type="dxa"/>
            <w:tcBorders/>
            <w:shd w:fill="FFFFFF" w:val="cle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The fair value of the convertible note derivative liability was estimated using the Black-Scholes option pricing model using the following assumptions:</w:t>
      </w:r>
    </w:p>
    <w:p>
      <w:pPr>
        <w:pStyle w:val="TextBody"/>
        <w:bidi w:val="0"/>
        <w:jc w:val="both"/>
        <w:rPr/>
      </w:pPr>
      <w:r>
        <w:rPr/>
        <w:t> </w:t>
      </w:r>
    </w:p>
    <w:tbl>
      <w:tblPr>
        <w:tblW w:w="4723" w:type="dxa"/>
        <w:jc w:val="left"/>
        <w:tblInd w:w="0" w:type="dxa"/>
        <w:tblLayout w:type="fixed"/>
        <w:tblCellMar>
          <w:top w:w="28" w:type="dxa"/>
          <w:left w:w="28" w:type="dxa"/>
          <w:bottom w:w="28" w:type="dxa"/>
          <w:right w:w="28" w:type="dxa"/>
        </w:tblCellMar>
      </w:tblPr>
      <w:tblGrid>
        <w:gridCol w:w="2131"/>
        <w:gridCol w:w="146"/>
        <w:gridCol w:w="506"/>
        <w:gridCol w:w="162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As of September 24, 2023 </w:t>
            </w:r>
            <w:r>
              <w:rPr>
                <w:rFonts w:ascii="Times New Roman" w:hAnsi="Times New Roman"/>
                <w:b/>
                <w:color w:val="000000"/>
                <w:sz w:val="11"/>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16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506" w:type="dxa"/>
            <w:tcBorders/>
            <w:shd w:fill="CFF0FC" w:val="clear"/>
            <w:vAlign w:val="center"/>
          </w:tcPr>
          <w:p>
            <w:pPr>
              <w:pStyle w:val="TableContents"/>
              <w:bidi w:val="0"/>
              <w:spacing w:before="0" w:after="283"/>
              <w:jc w:val="left"/>
              <w:rPr/>
            </w:pPr>
            <w:r>
              <w:rPr/>
              <w:t> </w:t>
            </w:r>
          </w:p>
        </w:tc>
        <w:tc>
          <w:tcPr>
            <w:tcW w:w="162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624"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jc w:val="both"/>
        <w:rPr>
          <w:rFonts w:ascii="Times New Roman" w:hAnsi="Times New Roman"/>
          <w:sz w:val="20"/>
        </w:rPr>
      </w:pPr>
      <w:r>
        <w:rPr>
          <w:rFonts w:ascii="Times New Roman" w:hAnsi="Times New Roman"/>
          <w:b w:val="false"/>
          <w:color w:val="000000"/>
          <w:sz w:val="16"/>
        </w:rPr>
        <w:t>The fair value of the convertible note derivative liability was remeasured on September 24, 2023, immediately prior to the execution of the Convertible Note Amendment.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During the three and nine months ended September 30, 2022, there were no transfers between Level 1, Level 2 and Level 3.</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carrying amounts of cash and cash equivalents, restricted cash, marketable securities, accounts receivable, accounts payable, and customer deposits approximate fair value due to their short-term nature. As of September 30, 2023, the fair value and carrying value of the Company’s Convertible Promissory Note (Note 9) was $58.1</w:t>
      </w:r>
      <w:r>
        <w:rPr>
          <w:rFonts w:ascii="Times New Roman" w:hAnsi="Times New Roman"/>
          <w:color w:val="000000"/>
          <w:sz w:val="20"/>
        </w:rPr>
        <w:t xml:space="preserve"> </w:t>
      </w:r>
      <w:r>
        <w:rPr>
          <w:rFonts w:ascii="Times New Roman" w:hAnsi="Times New Roman"/>
          <w:b w:val="false"/>
          <w:color w:val="000000"/>
          <w:sz w:val="20"/>
        </w:rPr>
        <w:t>million and $29.3</w:t>
      </w:r>
      <w:r>
        <w:rPr>
          <w:rFonts w:ascii="Times New Roman" w:hAnsi="Times New Roman"/>
          <w:color w:val="000000"/>
          <w:sz w:val="20"/>
        </w:rPr>
        <w:t xml:space="preserve"> </w:t>
      </w:r>
      <w:r>
        <w:rPr>
          <w:rFonts w:ascii="Times New Roman" w:hAnsi="Times New Roman"/>
          <w:b w:val="false"/>
          <w:color w:val="000000"/>
          <w:sz w:val="20"/>
        </w:rPr>
        <w:t>million, respectively. As of December 31, 2022, the fair value and carrying value of the Company’s Series 2022-1 Notes was $21.0</w:t>
      </w:r>
      <w:r>
        <w:rPr>
          <w:rFonts w:ascii="Times New Roman" w:hAnsi="Times New Roman"/>
          <w:color w:val="000000"/>
          <w:sz w:val="20"/>
        </w:rPr>
        <w:t xml:space="preserve"> </w:t>
      </w:r>
      <w:r>
        <w:rPr>
          <w:rFonts w:ascii="Times New Roman" w:hAnsi="Times New Roman"/>
          <w:b w:val="false"/>
          <w:color w:val="000000"/>
          <w:sz w:val="20"/>
        </w:rPr>
        <w:t>million and $20.6</w:t>
      </w:r>
      <w:r>
        <w:rPr>
          <w:rFonts w:ascii="Times New Roman" w:hAnsi="Times New Roman"/>
          <w:color w:val="000000"/>
          <w:sz w:val="20"/>
        </w:rPr>
        <w:t xml:space="preserve"> </w:t>
      </w:r>
      <w:r>
        <w:rPr>
          <w:rFonts w:ascii="Times New Roman" w:hAnsi="Times New Roman"/>
          <w:b w:val="false"/>
          <w:color w:val="000000"/>
          <w:sz w:val="20"/>
        </w:rPr>
        <w:t>million, respectively. The estimated fair value for the Company’s Convertible Promissory Note and Series 2022-1 Notes was based on discounted expected future cash flows using prevailing interest rates which are Level 3 inputs under the fair value hierarchy.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Geographic Revenue, Net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sells its products in the Americas (North and South America), EMEA (Europe, Middle East, and Africa), and APAC (Asia-Pacific) regions.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summarizes revenue, net by major geographic region (in millions):</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1591"/>
        <w:gridCol w:w="146"/>
        <w:gridCol w:w="274"/>
        <w:gridCol w:w="878"/>
        <w:gridCol w:w="189"/>
        <w:gridCol w:w="189"/>
        <w:gridCol w:w="274"/>
        <w:gridCol w:w="878"/>
        <w:gridCol w:w="146"/>
        <w:gridCol w:w="146"/>
        <w:gridCol w:w="252"/>
        <w:gridCol w:w="933"/>
        <w:gridCol w:w="174"/>
        <w:gridCol w:w="174"/>
        <w:gridCol w:w="252"/>
        <w:gridCol w:w="808"/>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105,595</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30,861</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3,576</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21,776</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15,818</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 net</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135,988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Deferred Revenue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summarizes the changes in deferred revenue:</w:t>
      </w:r>
    </w:p>
    <w:p>
      <w:pPr>
        <w:pStyle w:val="TextBody"/>
        <w:bidi w:val="0"/>
        <w:jc w:val="both"/>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tbl>
      <w:tblPr>
        <w:tblW w:w="9187" w:type="dxa"/>
        <w:jc w:val="left"/>
        <w:tblInd w:w="0" w:type="dxa"/>
        <w:tblLayout w:type="fixed"/>
        <w:tblCellMar>
          <w:top w:w="28" w:type="dxa"/>
          <w:left w:w="28" w:type="dxa"/>
          <w:bottom w:w="28" w:type="dxa"/>
          <w:right w:w="28" w:type="dxa"/>
        </w:tblCellMar>
      </w:tblPr>
      <w:tblGrid>
        <w:gridCol w:w="3241"/>
        <w:gridCol w:w="146"/>
        <w:gridCol w:w="283"/>
        <w:gridCol w:w="849"/>
        <w:gridCol w:w="223"/>
        <w:gridCol w:w="196"/>
        <w:gridCol w:w="283"/>
        <w:gridCol w:w="849"/>
        <w:gridCol w:w="166"/>
        <w:gridCol w:w="146"/>
        <w:gridCol w:w="248"/>
        <w:gridCol w:w="866"/>
        <w:gridCol w:w="195"/>
        <w:gridCol w:w="171"/>
        <w:gridCol w:w="248"/>
        <w:gridCol w:w="86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223"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Deferral of revenue</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4,673</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27,842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12,200</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Recognition of unearned revenue</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(4,840</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(28,508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the Company expects to recognize $0.5</w:t>
      </w:r>
      <w:r>
        <w:rPr>
          <w:rFonts w:ascii="Times New Roman" w:hAnsi="Times New Roman"/>
          <w:color w:val="000000"/>
          <w:sz w:val="20"/>
        </w:rPr>
        <w:t xml:space="preserve"> </w:t>
      </w:r>
      <w:r>
        <w:rPr>
          <w:rFonts w:ascii="Times New Roman" w:hAnsi="Times New Roman"/>
          <w:b w:val="false"/>
          <w:color w:val="000000"/>
          <w:sz w:val="20"/>
        </w:rPr>
        <w:t>million from remaining performance obligations over a weighted average term of 3.2</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did not recognize any revenue that was included in the beginning contract liabilities balance during the three months ended September 30, 2023, and 2022. The Company recognized approximately $0.9</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in revenue that was included in the beginning contract liabilities balance during the nine months ended September 30, 2023, and 2022,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Product Warranty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estimates the cost of its warranty obligations based on several key estimates: the warranty period (which vary from 5</w:t>
      </w:r>
      <w:r>
        <w:rPr>
          <w:rFonts w:ascii="Times New Roman" w:hAnsi="Times New Roman"/>
          <w:color w:val="000000"/>
          <w:sz w:val="20"/>
        </w:rPr>
        <w:t xml:space="preserve"> </w:t>
      </w:r>
      <w:r>
        <w:rPr>
          <w:rFonts w:ascii="Times New Roman" w:hAnsi="Times New Roman"/>
          <w:b w:val="false"/>
          <w:color w:val="000000"/>
          <w:sz w:val="20"/>
        </w:rPr>
        <w:t>to 25</w:t>
      </w:r>
      <w:r>
        <w:rPr>
          <w:rFonts w:ascii="Times New Roman" w:hAnsi="Times New Roman"/>
          <w:color w:val="000000"/>
          <w:sz w:val="20"/>
        </w:rPr>
        <w:t xml:space="preserve"> </w:t>
      </w:r>
      <w:r>
        <w:rPr>
          <w:rFonts w:ascii="Times New Roman" w:hAnsi="Times New Roman"/>
          <w:b w:val="false"/>
          <w:color w:val="000000"/>
          <w:sz w:val="20"/>
        </w:rPr>
        <w:t>years depending on the product), its historical experience of known product failure rates, use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following table summarizes the changes in product warranty liability:</w:t>
      </w:r>
    </w:p>
    <w:p>
      <w:pPr>
        <w:pStyle w:val="TextBody"/>
        <w:bidi w:val="0"/>
        <w:jc w:val="both"/>
        <w:rPr/>
      </w:pPr>
      <w:r>
        <w:rPr/>
        <w:t> </w:t>
      </w:r>
    </w:p>
    <w:tbl>
      <w:tblPr>
        <w:tblW w:w="9267" w:type="dxa"/>
        <w:jc w:val="left"/>
        <w:tblInd w:w="0" w:type="dxa"/>
        <w:tblLayout w:type="fixed"/>
        <w:tblCellMar>
          <w:top w:w="28" w:type="dxa"/>
          <w:left w:w="28" w:type="dxa"/>
          <w:bottom w:w="28" w:type="dxa"/>
          <w:right w:w="28" w:type="dxa"/>
        </w:tblCellMar>
      </w:tblPr>
      <w:tblGrid>
        <w:gridCol w:w="3241"/>
        <w:gridCol w:w="146"/>
        <w:gridCol w:w="302"/>
        <w:gridCol w:w="817"/>
        <w:gridCol w:w="237"/>
        <w:gridCol w:w="209"/>
        <w:gridCol w:w="302"/>
        <w:gridCol w:w="817"/>
        <w:gridCol w:w="166"/>
        <w:gridCol w:w="146"/>
        <w:gridCol w:w="291"/>
        <w:gridCol w:w="790"/>
        <w:gridCol w:w="229"/>
        <w:gridCol w:w="202"/>
        <w:gridCol w:w="291"/>
        <w:gridCol w:w="790"/>
        <w:gridCol w:w="2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the beginning of the period</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5,493</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4,351</w:t>
            </w:r>
          </w:p>
        </w:tc>
        <w:tc>
          <w:tcPr>
            <w:tcW w:w="229"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Provision for warranty</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1,810</w:t>
            </w:r>
          </w:p>
        </w:tc>
        <w:tc>
          <w:tcPr>
            <w:tcW w:w="229"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Warranty usage</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9"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the end of the period</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5,807</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Selected Financial Data</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Selected financial data as of the dates presented below is as follows (in thousands, except useful life data):</w:t>
      </w:r>
    </w:p>
    <w:p>
      <w:pPr>
        <w:pStyle w:val="TextBody"/>
        <w:bidi w:val="0"/>
        <w:jc w:val="both"/>
        <w:rPr/>
      </w:pPr>
      <w:r>
        <w:rPr/>
        <w:t> </w:t>
      </w:r>
    </w:p>
    <w:tbl>
      <w:tblPr>
        <w:tblW w:w="4735" w:type="dxa"/>
        <w:jc w:val="left"/>
        <w:tblInd w:w="0" w:type="dxa"/>
        <w:tblLayout w:type="fixed"/>
        <w:tblCellMar>
          <w:top w:w="28" w:type="dxa"/>
          <w:left w:w="28" w:type="dxa"/>
          <w:bottom w:w="28" w:type="dxa"/>
          <w:right w:w="28" w:type="dxa"/>
        </w:tblCellMar>
      </w:tblPr>
      <w:tblGrid>
        <w:gridCol w:w="1631"/>
        <w:gridCol w:w="146"/>
        <w:gridCol w:w="271"/>
        <w:gridCol w:w="869"/>
        <w:gridCol w:w="166"/>
        <w:gridCol w:w="146"/>
        <w:gridCol w:w="260"/>
        <w:gridCol w:w="835"/>
        <w:gridCol w:w="411"/>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6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1,869</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16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16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23,293</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16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Inventory reserve</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6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Inventory,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692" w:type="dxa"/>
        <w:jc w:val="left"/>
        <w:tblInd w:w="0" w:type="dxa"/>
        <w:tblLayout w:type="fixed"/>
        <w:tblCellMar>
          <w:top w:w="28" w:type="dxa"/>
          <w:left w:w="28" w:type="dxa"/>
          <w:bottom w:w="28" w:type="dxa"/>
          <w:right w:w="28" w:type="dxa"/>
        </w:tblCellMar>
      </w:tblPr>
      <w:tblGrid>
        <w:gridCol w:w="2831"/>
        <w:gridCol w:w="146"/>
        <w:gridCol w:w="1651"/>
        <w:gridCol w:w="146"/>
        <w:gridCol w:w="307"/>
        <w:gridCol w:w="833"/>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3,881</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Vehicles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w:t>
            </w:r>
            <w:r>
              <w:rPr>
                <w:rFonts w:ascii="Times New Roman" w:hAnsi="Times New Roman"/>
                <w:b w:val="false"/>
                <w:color w:val="000000"/>
                <w:sz w:val="20"/>
              </w:rPr>
              <w:t>- 6</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83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For the three months ended September 30, 2023, and 2022 the Company recorded depreciation expense of $0.2</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 in the condensed consolidated statements of operations and comprehensive income (loss). For the nine months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ended September 30, 2023, and 2022 the Company recorded depreciation expense of $0.6</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 in the condensed consolidated statements of operations and comprehensive income (loss).</w:t>
      </w:r>
    </w:p>
    <w:p>
      <w:pPr>
        <w:pStyle w:val="TextBody"/>
        <w:bidi w:val="0"/>
        <w:jc w:val="both"/>
        <w:rPr/>
      </w:pPr>
      <w:r>
        <w:rPr/>
        <w:t> </w:t>
      </w:r>
    </w:p>
    <w:tbl>
      <w:tblPr>
        <w:tblW w:w="7090" w:type="dxa"/>
        <w:jc w:val="left"/>
        <w:tblInd w:w="0" w:type="dxa"/>
        <w:tblLayout w:type="fixed"/>
        <w:tblCellMar>
          <w:top w:w="28" w:type="dxa"/>
          <w:left w:w="28" w:type="dxa"/>
          <w:bottom w:w="28" w:type="dxa"/>
          <w:right w:w="28" w:type="dxa"/>
        </w:tblCellMar>
      </w:tblPr>
      <w:tblGrid>
        <w:gridCol w:w="4026"/>
        <w:gridCol w:w="146"/>
        <w:gridCol w:w="307"/>
        <w:gridCol w:w="833"/>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vacation</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fees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2,502</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warehouse and freight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391" w:type="dxa"/>
            <w:tcBorders/>
            <w:shd w:fill="CFF0FC" w:val="clear"/>
            <w:vAlign w:val="center"/>
          </w:tcPr>
          <w:p>
            <w:pPr>
              <w:pStyle w:val="TableContents"/>
              <w:bidi w:val="0"/>
              <w:spacing w:before="0" w:after="283"/>
              <w:jc w:val="left"/>
              <w:rPr/>
            </w:pPr>
            <w:r>
              <w:rPr/>
              <w:t> </w:t>
            </w:r>
          </w:p>
        </w:tc>
      </w:tr>
      <w:tr>
        <w:trPr/>
        <w:tc>
          <w:tcPr>
            <w:tcW w:w="40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391" w:type="dxa"/>
            <w:tcBorders/>
            <w:shd w:fill="FFFFFF" w:val="clear"/>
            <w:vAlign w:val="center"/>
          </w:tcPr>
          <w:p>
            <w:pPr>
              <w:pStyle w:val="TableContents"/>
              <w:bidi w:val="0"/>
              <w:spacing w:before="0" w:after="283"/>
              <w:jc w:val="left"/>
              <w:rPr/>
            </w:pPr>
            <w:r>
              <w:rPr/>
              <w:t> </w:t>
            </w:r>
          </w:p>
        </w:tc>
      </w:tr>
      <w:tr>
        <w:trPr/>
        <w:tc>
          <w:tcPr>
            <w:tcW w:w="40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Other current liabilities</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val="false"/>
          <w:color w:val="000000"/>
          <w:sz w:val="16"/>
        </w:rPr>
      </w:pPr>
      <w:r>
        <w:rPr>
          <w:rFonts w:ascii="Times New Roman" w:hAnsi="Times New Roman"/>
          <w:b w:val="false"/>
          <w:color w:val="000000"/>
          <w:sz w:val="16"/>
        </w:rPr>
        <w:t>(1)</w:t>
      </w:r>
    </w:p>
    <w:p>
      <w:pPr>
        <w:pStyle w:val="TextBody"/>
        <w:bidi w:val="0"/>
        <w:spacing w:before="0" w:after="0"/>
        <w:jc w:val="both"/>
        <w:rPr>
          <w:rFonts w:ascii="Times New Roman" w:hAnsi="Times New Roman"/>
          <w:sz w:val="20"/>
        </w:rPr>
      </w:pPr>
      <w:r>
        <w:rPr>
          <w:rFonts w:ascii="Times New Roman" w:hAnsi="Times New Roman"/>
          <w:b w:val="false"/>
          <w:color w:val="000000"/>
          <w:sz w:val="16"/>
        </w:rPr>
        <w:t>Other current liabilities of $2.0</w:t>
      </w:r>
      <w:r>
        <w:rPr>
          <w:rFonts w:ascii="Times New Roman" w:hAnsi="Times New Roman"/>
          <w:color w:val="000000"/>
          <w:sz w:val="20"/>
        </w:rPr>
        <w:t xml:space="preserve"> </w:t>
      </w:r>
      <w:r>
        <w:rPr>
          <w:rFonts w:ascii="Times New Roman" w:hAnsi="Times New Roman"/>
          <w:b w:val="false"/>
          <w:color w:val="000000"/>
          <w:sz w:val="16"/>
        </w:rPr>
        <w:t>million for the period ended September 30, 2023, are primarily related to the contingent shares liability related to the acquisition of fSight in Q1 2023. See Note 4 for additional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Long-Term Debt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Long-term debt consisted of the following (in thousands):</w:t>
      </w:r>
    </w:p>
    <w:p>
      <w:pPr>
        <w:pStyle w:val="TextBody"/>
        <w:bidi w:val="0"/>
        <w:jc w:val="both"/>
        <w:rPr/>
      </w:pPr>
      <w:r>
        <w:rPr/>
        <w:t> </w:t>
      </w:r>
    </w:p>
    <w:tbl>
      <w:tblPr>
        <w:tblW w:w="9265" w:type="dxa"/>
        <w:jc w:val="left"/>
        <w:tblInd w:w="0" w:type="dxa"/>
        <w:tblLayout w:type="fixed"/>
        <w:tblCellMar>
          <w:top w:w="28" w:type="dxa"/>
          <w:left w:w="28" w:type="dxa"/>
          <w:bottom w:w="28" w:type="dxa"/>
          <w:right w:w="28" w:type="dxa"/>
        </w:tblCellMar>
      </w:tblPr>
      <w:tblGrid>
        <w:gridCol w:w="6061"/>
        <w:gridCol w:w="146"/>
        <w:gridCol w:w="254"/>
        <w:gridCol w:w="886"/>
        <w:gridCol w:w="166"/>
        <w:gridCol w:w="146"/>
        <w:gridCol w:w="244"/>
        <w:gridCol w:w="851"/>
        <w:gridCol w:w="5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Promissory Note</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2022-1 Notes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20,833</w:t>
            </w:r>
          </w:p>
        </w:tc>
        <w:tc>
          <w:tcPr>
            <w:tcW w:w="511" w:type="dxa"/>
            <w:tcBorders/>
            <w:shd w:fill="CFF0FC" w:val="clear"/>
            <w:vAlign w:val="center"/>
          </w:tcPr>
          <w:p>
            <w:pPr>
              <w:pStyle w:val="TableContents"/>
              <w:bidi w:val="0"/>
              <w:spacing w:before="0" w:after="283"/>
              <w:jc w:val="left"/>
              <w:rPr/>
            </w:pPr>
            <w:r>
              <w:rPr/>
              <w:t> </w:t>
            </w:r>
          </w:p>
        </w:tc>
      </w:tr>
      <w:tr>
        <w:trPr/>
        <w:tc>
          <w:tcPr>
            <w:tcW w:w="60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unamortized debt discount and issuance costs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0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Long-term debt, net of unamortized debt discount and current portion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Convertible Promissory Notes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January 9, 2023, the Company entered into the Note Purchase Agreement with L1 Energy pursuant to which the Company issued the Convertible Promissory Note. Outstanding borrowings under the Convertible Promissory Note bears interest at a rate of 5.0% per year. The principal amount of the Convertible Promissory Note is due at the maturity date of January 9, 2026, and interest is payable semiannually beginning July 2023.</w:t>
      </w:r>
      <w:r>
        <w:rPr>
          <w:rFonts w:ascii="Times New Roman" w:hAnsi="Times New Roman"/>
          <w:color w:val="000000"/>
          <w:sz w:val="20"/>
        </w:rPr>
        <w:t xml:space="preserve"> </w:t>
      </w:r>
      <w:r>
        <w:rPr>
          <w:rFonts w:ascii="Times New Roman" w:hAnsi="Times New Roman"/>
          <w:b w:val="false"/>
          <w:color w:val="000000"/>
          <w:sz w:val="20"/>
        </w:rPr>
        <w:t>As of September 30, 2023, there was $0.6</w:t>
      </w:r>
      <w:r>
        <w:rPr>
          <w:rFonts w:ascii="Times New Roman" w:hAnsi="Times New Roman"/>
          <w:color w:val="000000"/>
          <w:sz w:val="20"/>
        </w:rPr>
        <w:t xml:space="preserve"> </w:t>
      </w:r>
      <w:r>
        <w:rPr>
          <w:rFonts w:ascii="Times New Roman" w:hAnsi="Times New Roman"/>
          <w:b w:val="false"/>
          <w:color w:val="000000"/>
          <w:sz w:val="20"/>
        </w:rPr>
        <w:t>million of accrued interest in the condensed consolidated balance sheet.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the terms of the Note Purchase Agreement, the Convertible Promissory Note may be converted at the option of the note holder into shares of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w:t>
      </w:r>
      <w:r>
        <w:rPr>
          <w:rFonts w:ascii="Times New Roman" w:hAnsi="Times New Roman"/>
          <w:color w:val="000000"/>
          <w:sz w:val="20"/>
        </w:rPr>
        <w:t xml:space="preserve"> </w:t>
      </w:r>
      <w:r>
        <w:rPr>
          <w:rFonts w:ascii="Times New Roman" w:hAnsi="Times New Roman"/>
          <w:b w:val="false"/>
          <w:color w:val="000000"/>
          <w:sz w:val="20"/>
        </w:rPr>
        <w:t>In addition, the note holder may accelerate the repayment of the Convertible Promissory Note upon an event of default and the maturity will automatically be accelerated in the event of the Company’s insolvency or bankruptcy.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a result of the Business Combination, the conversion options were bifurcated and accounted for as derivatives. Upon recognition, the Company recorded the conversion options at fair value and associated debt discount of $23.5</w:t>
      </w:r>
      <w:r>
        <w:rPr>
          <w:rFonts w:ascii="Times New Roman" w:hAnsi="Times New Roman"/>
          <w:color w:val="000000"/>
          <w:sz w:val="20"/>
        </w:rPr>
        <w:t xml:space="preserve"> </w:t>
      </w:r>
      <w:r>
        <w:rPr>
          <w:rFonts w:ascii="Times New Roman" w:hAnsi="Times New Roman"/>
          <w:b w:val="false"/>
          <w:color w:val="000000"/>
          <w:sz w:val="20"/>
        </w:rPr>
        <w:t xml:space="preserve">million. On September 24, 2023, the Company and L1 Energy entered into the Convertible Note Amendment which modified the conversion terms of the Convertible Promissory Notes. As a result, the conversion options no longer met the criteria to be bifurcated into a convertible note derivative liability; instead, the conversion options will now be reclassified to equity under </w:t>
      </w:r>
      <w:r>
        <w:rPr>
          <w:rFonts w:ascii="Times New Roman" w:hAnsi="Times New Roman"/>
          <w:b w:val="false"/>
          <w:i/>
          <w:color w:val="000000"/>
          <w:sz w:val="20"/>
        </w:rPr>
        <w:t>ASC Topic 815, Derivatives and Hedging</w:t>
      </w:r>
      <w:r>
        <w:rPr>
          <w:rFonts w:ascii="Times New Roman" w:hAnsi="Times New Roman"/>
          <w:b w:val="false"/>
          <w:color w:val="000000"/>
          <w:sz w:val="20"/>
        </w:rPr>
        <w: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Immediately prior to the execution of the Convertible Note Amendment, the Company fair valued the convertible note derivative liability</w:t>
      </w:r>
      <w:r>
        <w:rPr>
          <w:rFonts w:ascii="Times New Roman" w:hAnsi="Times New Roman"/>
          <w:color w:val="000000"/>
          <w:sz w:val="20"/>
        </w:rPr>
        <w:t xml:space="preserve"> </w:t>
      </w:r>
      <w:r>
        <w:rPr>
          <w:rFonts w:ascii="Times New Roman" w:hAnsi="Times New Roman"/>
          <w:b w:val="false"/>
          <w:color w:val="000000"/>
          <w:sz w:val="20"/>
        </w:rPr>
        <w:t>at $11.3</w:t>
      </w:r>
      <w:r>
        <w:rPr>
          <w:rFonts w:ascii="Times New Roman" w:hAnsi="Times New Roman"/>
          <w:color w:val="000000"/>
          <w:sz w:val="20"/>
        </w:rPr>
        <w:t xml:space="preserve"> </w:t>
      </w:r>
      <w:r>
        <w:rPr>
          <w:rFonts w:ascii="Times New Roman" w:hAnsi="Times New Roman"/>
          <w:b w:val="false"/>
          <w:color w:val="000000"/>
          <w:sz w:val="20"/>
        </w:rPr>
        <w:t>million. Please refer to Note 6, “Fair Value of Financial Instruments”, for further detail on the inputs for the final fair value calculation. The resulting change in fair value was recorded in the Company’s condensed consolidated statement of operation and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comprehensive income (loss). Subsequently, the convertible note derivative liability was reclassified to an equity classified derivative and was recorded into additional paid-in capital on the Company’s condensed consolidated balance sheet.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Future aggregate principal maturities of long-term debt are as follows as of September 30, 2023 (in thousands):</w:t>
      </w:r>
    </w:p>
    <w:p>
      <w:pPr>
        <w:pStyle w:val="TextBody"/>
        <w:bidi w:val="0"/>
        <w:jc w:val="both"/>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Series 2022-1 Notes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January 2023, concurrently with the Convertible Promissory Note transaction, the Company repaid the Series 2022-1 Notes in full with the proceeds from the Convertible Promissory Note and wrote off $0.2</w:t>
      </w:r>
      <w:r>
        <w:rPr>
          <w:rFonts w:ascii="Times New Roman" w:hAnsi="Times New Roman"/>
          <w:color w:val="000000"/>
          <w:sz w:val="20"/>
        </w:rPr>
        <w:t xml:space="preserve"> </w:t>
      </w:r>
      <w:r>
        <w:rPr>
          <w:rFonts w:ascii="Times New Roman" w:hAnsi="Times New Roman"/>
          <w:b w:val="false"/>
          <w:color w:val="000000"/>
          <w:sz w:val="20"/>
        </w:rPr>
        <w:t>million of unamortized debt issuance costs related to the previously outstanding Series 2022-1 Notes, which are included in loss on debt extinguishment on the condensed consolidated statements of operations and comprehensive income (loss).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Senior Bonds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January 2022, concurrently with the Series 2022-1 Notes transaction, the Company repaid the Senior Bonds in full with the proceeds from the Series 2022-1 Notes and wrote off $0.5</w:t>
      </w:r>
      <w:r>
        <w:rPr>
          <w:rFonts w:ascii="Times New Roman" w:hAnsi="Times New Roman"/>
          <w:color w:val="000000"/>
          <w:sz w:val="20"/>
        </w:rPr>
        <w:t xml:space="preserve"> </w:t>
      </w:r>
      <w:r>
        <w:rPr>
          <w:rFonts w:ascii="Times New Roman" w:hAnsi="Times New Roman"/>
          <w:b w:val="false"/>
          <w:color w:val="000000"/>
          <w:sz w:val="20"/>
        </w:rPr>
        <w:t>million of unamortized debt issuance costs related to the previously outstanding Senior Bonds and $3.1</w:t>
      </w:r>
      <w:r>
        <w:rPr>
          <w:rFonts w:ascii="Times New Roman" w:hAnsi="Times New Roman"/>
          <w:color w:val="000000"/>
          <w:sz w:val="20"/>
        </w:rPr>
        <w:t xml:space="preserve"> </w:t>
      </w:r>
      <w:r>
        <w:rPr>
          <w:rFonts w:ascii="Times New Roman" w:hAnsi="Times New Roman"/>
          <w:b w:val="false"/>
          <w:color w:val="000000"/>
          <w:sz w:val="20"/>
        </w:rPr>
        <w:t>million of expenses related to lender fees on the Series 2022-1 Notes, which are included in loss on debt extinguishment on the condensed consolidated statements of operations and comprehensive income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Net debt issuance costs are presented as a direct reduction of the Company’s long-term debt in the condensed consolidated balance sheets and amount to $23.9</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During the three months ended September 30, 2023, and 2022, the Company recorded amortization of $2.2</w:t>
      </w:r>
      <w:r>
        <w:rPr>
          <w:rFonts w:ascii="Times New Roman" w:hAnsi="Times New Roman"/>
          <w:color w:val="000000"/>
          <w:sz w:val="20"/>
        </w:rPr>
        <w:t xml:space="preserve"> </w:t>
      </w:r>
      <w:r>
        <w:rPr>
          <w:rFonts w:ascii="Times New Roman" w:hAnsi="Times New Roman"/>
          <w:b w:val="false"/>
          <w:color w:val="000000"/>
          <w:sz w:val="20"/>
        </w:rPr>
        <w:t>and $0.1</w:t>
      </w:r>
      <w:r>
        <w:rPr>
          <w:rFonts w:ascii="Times New Roman" w:hAnsi="Times New Roman"/>
          <w:color w:val="000000"/>
          <w:sz w:val="20"/>
        </w:rPr>
        <w:t xml:space="preserve"> </w:t>
      </w:r>
      <w:r>
        <w:rPr>
          <w:rFonts w:ascii="Times New Roman" w:hAnsi="Times New Roman"/>
          <w:b w:val="false"/>
          <w:color w:val="000000"/>
          <w:sz w:val="20"/>
        </w:rPr>
        <w:t>million, respectively, to interest expense pertaining to debt issuance costs. During the nine months ended September 30, 2023, and 2022, the Company recorded amortization of $3.2</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 to interest expense pertaining to debt issuance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entered into employment agreements with key personnel providing compensation and severance in certain circumstances, as defined in the respective employment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believes the current estimated fair value of any obligation from these indemnification agreements is minimal; therefore, these condensed consolidated financial statements do not include a liability for any potential obligations at September 30,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Common Stock and Convertible Preferred Stock</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Common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is authorized to issue 150,000,000</w:t>
      </w:r>
      <w:r>
        <w:rPr>
          <w:rFonts w:ascii="Times New Roman" w:hAnsi="Times New Roman"/>
          <w:color w:val="000000"/>
          <w:sz w:val="20"/>
        </w:rPr>
        <w:t xml:space="preserve"> </w:t>
      </w:r>
      <w:r>
        <w:rPr>
          <w:rFonts w:ascii="Times New Roman" w:hAnsi="Times New Roman"/>
          <w:b w:val="false"/>
          <w:color w:val="000000"/>
          <w:sz w:val="20"/>
        </w:rPr>
        <w:t xml:space="preserve">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connection with the Business Combination, the Company issued 1,700,498</w:t>
      </w:r>
      <w:r>
        <w:rPr>
          <w:rFonts w:ascii="Times New Roman" w:hAnsi="Times New Roman"/>
          <w:color w:val="000000"/>
          <w:sz w:val="20"/>
        </w:rPr>
        <w:t xml:space="preserve"> </w:t>
      </w:r>
      <w:r>
        <w:rPr>
          <w:rFonts w:ascii="Times New Roman" w:hAnsi="Times New Roman"/>
          <w:b w:val="false"/>
          <w:color w:val="000000"/>
          <w:sz w:val="20"/>
        </w:rPr>
        <w:t>shares of Common Stock to former stockholders of ROCG and 118,021</w:t>
      </w:r>
      <w:r>
        <w:rPr>
          <w:rFonts w:ascii="Times New Roman" w:hAnsi="Times New Roman"/>
          <w:color w:val="000000"/>
          <w:sz w:val="20"/>
        </w:rPr>
        <w:t xml:space="preserve"> </w:t>
      </w:r>
      <w:r>
        <w:rPr>
          <w:rFonts w:ascii="Times New Roman" w:hAnsi="Times New Roman"/>
          <w:b w:val="false"/>
          <w:color w:val="000000"/>
          <w:sz w:val="20"/>
        </w:rPr>
        <w:t>shares of Common Stock to Roth Capital Partners, LLC.</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Common Stock Reserved for Future Issuance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Shares of Common Stock reserved for future issuance, on an as-if converted basis, were as follows:</w:t>
      </w:r>
    </w:p>
    <w:p>
      <w:pPr>
        <w:pStyle w:val="TextBody"/>
        <w:bidi w:val="0"/>
        <w:jc w:val="both"/>
        <w:rPr/>
      </w:pPr>
      <w:r>
        <w:rPr/>
        <w:t> </w:t>
      </w:r>
    </w:p>
    <w:tbl>
      <w:tblPr>
        <w:tblW w:w="7773" w:type="dxa"/>
        <w:jc w:val="left"/>
        <w:tblInd w:w="0" w:type="dxa"/>
        <w:tblLayout w:type="fixed"/>
        <w:tblCellMar>
          <w:top w:w="28" w:type="dxa"/>
          <w:left w:w="28" w:type="dxa"/>
          <w:bottom w:w="28" w:type="dxa"/>
          <w:right w:w="28" w:type="dxa"/>
        </w:tblCellMar>
      </w:tblPr>
      <w:tblGrid>
        <w:gridCol w:w="5371"/>
        <w:gridCol w:w="146"/>
        <w:gridCol w:w="242"/>
        <w:gridCol w:w="1723"/>
        <w:gridCol w:w="2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5,145,445</w:t>
            </w:r>
          </w:p>
        </w:tc>
        <w:tc>
          <w:tcPr>
            <w:tcW w:w="29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issued and outstanding</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938,771</w:t>
            </w:r>
          </w:p>
        </w:tc>
        <w:tc>
          <w:tcPr>
            <w:tcW w:w="291" w:type="dxa"/>
            <w:tcBorders/>
            <w:shd w:fill="FFFFFF" w:val="cle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potential conversion of L1 Convertible Note</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5,305,437</w:t>
            </w:r>
          </w:p>
        </w:tc>
        <w:tc>
          <w:tcPr>
            <w:tcW w:w="291"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fSight Contingent Shares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258,033</w:t>
            </w:r>
          </w:p>
        </w:tc>
        <w:tc>
          <w:tcPr>
            <w:tcW w:w="291" w:type="dxa"/>
            <w:tcBorders/>
            <w:shd w:fill="FFFFFF" w:val="clear"/>
            <w:vAlign w:val="center"/>
          </w:tcPr>
          <w:p>
            <w:pPr>
              <w:pStyle w:val="TableContents"/>
              <w:bidi w:val="0"/>
              <w:spacing w:before="0" w:after="283"/>
              <w:jc w:val="left"/>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grant under 2023 Equity Incentive Plan</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4,649,266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16,296,952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Common Stock Warrants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Legacy Tigo had outstanding warrants to purchase 1,915,372</w:t>
      </w:r>
      <w:r>
        <w:rPr>
          <w:rFonts w:ascii="Times New Roman" w:hAnsi="Times New Roman"/>
          <w:color w:val="000000"/>
          <w:sz w:val="20"/>
        </w:rPr>
        <w:t xml:space="preserve"> </w:t>
      </w:r>
      <w:r>
        <w:rPr>
          <w:rFonts w:ascii="Times New Roman" w:hAnsi="Times New Roman"/>
          <w:b w:val="false"/>
          <w:color w:val="000000"/>
          <w:sz w:val="20"/>
        </w:rPr>
        <w:t>shares of Legacy Tigo common stock (“Legacy Warrants”), which (prior to the consummation of the Business Combination) represented rights to purchase Legacy Tigo common stock. During the three and nine months ended September 30, 2023, 1,915,372</w:t>
      </w:r>
      <w:r>
        <w:rPr>
          <w:rFonts w:ascii="Times New Roman" w:hAnsi="Times New Roman"/>
          <w:color w:val="000000"/>
          <w:sz w:val="20"/>
        </w:rPr>
        <w:t xml:space="preserve"> </w:t>
      </w:r>
      <w:r>
        <w:rPr>
          <w:rFonts w:ascii="Times New Roman" w:hAnsi="Times New Roman"/>
          <w:b w:val="false"/>
          <w:color w:val="000000"/>
          <w:sz w:val="20"/>
        </w:rPr>
        <w:t>Legacy Warrants were net exercised resulting in the issuance of 1,491,229</w:t>
      </w:r>
      <w:r>
        <w:rPr>
          <w:rFonts w:ascii="Times New Roman" w:hAnsi="Times New Roman"/>
          <w:color w:val="000000"/>
          <w:sz w:val="20"/>
        </w:rPr>
        <w:t xml:space="preserve"> </w:t>
      </w:r>
      <w:r>
        <w:rPr>
          <w:rFonts w:ascii="Times New Roman" w:hAnsi="Times New Roman"/>
          <w:b w:val="false"/>
          <w:color w:val="000000"/>
          <w:sz w:val="20"/>
        </w:rPr>
        <w:t>shares of Common Stock. As of September 30, 2023, there were no</w:t>
      </w:r>
      <w:r>
        <w:rPr>
          <w:rFonts w:ascii="Times New Roman" w:hAnsi="Times New Roman"/>
          <w:color w:val="000000"/>
          <w:sz w:val="20"/>
        </w:rPr>
        <w:t xml:space="preserve"> </w:t>
      </w:r>
      <w:r>
        <w:rPr>
          <w:rFonts w:ascii="Times New Roman" w:hAnsi="Times New Roman"/>
          <w:b w:val="false"/>
          <w:color w:val="000000"/>
          <w:sz w:val="20"/>
        </w:rPr>
        <w:t>Legacy Warrants outstanding.</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In connection with the Business Combination, the Company assumed 5,750,000</w:t>
      </w:r>
      <w:r>
        <w:rPr>
          <w:rFonts w:ascii="Times New Roman" w:hAnsi="Times New Roman"/>
          <w:color w:val="000000"/>
          <w:sz w:val="20"/>
        </w:rPr>
        <w:t xml:space="preserve"> </w:t>
      </w:r>
      <w:r>
        <w:rPr>
          <w:rFonts w:ascii="Times New Roman" w:hAnsi="Times New Roman"/>
          <w:b w:val="false"/>
          <w:color w:val="221F1F"/>
          <w:sz w:val="20"/>
        </w:rPr>
        <w:t>warrants originally issued as part of ROCG’s units in ROCG’s initial public offering (the “Public Warrants”)</w:t>
      </w:r>
      <w:r>
        <w:rPr>
          <w:rFonts w:ascii="Times New Roman" w:hAnsi="Times New Roman"/>
          <w:color w:val="000000"/>
          <w:sz w:val="20"/>
        </w:rPr>
        <w:t xml:space="preserve"> </w:t>
      </w:r>
      <w:r>
        <w:rPr>
          <w:rFonts w:ascii="Times New Roman" w:hAnsi="Times New Roman"/>
          <w:b w:val="false"/>
          <w:color w:val="000000"/>
          <w:sz w:val="20"/>
        </w:rPr>
        <w:t>and 18,750</w:t>
      </w:r>
      <w:r>
        <w:rPr>
          <w:rFonts w:ascii="Times New Roman" w:hAnsi="Times New Roman"/>
          <w:color w:val="000000"/>
          <w:sz w:val="20"/>
        </w:rPr>
        <w:t xml:space="preserve"> </w:t>
      </w:r>
      <w:r>
        <w:rPr>
          <w:rFonts w:ascii="Times New Roman" w:hAnsi="Times New Roman"/>
          <w:b w:val="false"/>
          <w:color w:val="221F1F"/>
          <w:sz w:val="20"/>
        </w:rPr>
        <w:t xml:space="preserve">warrants issued to the initial stockholders of ROCG in a private placement in connection with ROCG’s initial public offering (the “Private Warrants” and, together with the Public Warrants, the “Warrants”), </w:t>
      </w:r>
      <w:r>
        <w:rPr>
          <w:rFonts w:ascii="Times New Roman" w:hAnsi="Times New Roman"/>
          <w:b w:val="false"/>
          <w:color w:val="000000"/>
          <w:sz w:val="20"/>
        </w:rPr>
        <w:t>which, in each case, entitle the holder to purchase one</w:t>
      </w:r>
      <w:r>
        <w:rPr>
          <w:rFonts w:ascii="Times New Roman" w:hAnsi="Times New Roman"/>
          <w:color w:val="000000"/>
          <w:sz w:val="20"/>
        </w:rPr>
        <w:t xml:space="preserve"> </w:t>
      </w:r>
      <w:r>
        <w:rPr>
          <w:rFonts w:ascii="Times New Roman" w:hAnsi="Times New Roman"/>
          <w:b w:val="false"/>
          <w:color w:val="000000"/>
          <w:sz w:val="20"/>
        </w:rPr>
        <w:t>share of Common Stock at an exercise price of $11.50</w:t>
      </w:r>
      <w:r>
        <w:rPr>
          <w:rFonts w:ascii="Times New Roman" w:hAnsi="Times New Roman"/>
          <w:color w:val="000000"/>
          <w:sz w:val="20"/>
        </w:rPr>
        <w:t xml:space="preserve"> </w:t>
      </w:r>
      <w:r>
        <w:rPr>
          <w:rFonts w:ascii="Times New Roman" w:hAnsi="Times New Roman"/>
          <w:b w:val="false"/>
          <w:color w:val="000000"/>
          <w:sz w:val="20"/>
        </w:rPr>
        <w:t xml:space="preserve">per share. Except with respect to certain registration rights and transfer restrictions, the Private Warrants are identical to the Public Warrants. The Company has analyzed the Warrants and determined they are freestanding instruments and do not exhibit any of the characteristics in </w:t>
      </w:r>
      <w:r>
        <w:rPr>
          <w:rFonts w:ascii="Times New Roman" w:hAnsi="Times New Roman"/>
          <w:b w:val="false"/>
          <w:i/>
          <w:color w:val="000000"/>
          <w:sz w:val="20"/>
        </w:rPr>
        <w:t>ASC 480, Distinguishing Liabilities from Equity</w:t>
      </w:r>
      <w:r>
        <w:rPr>
          <w:rFonts w:ascii="Times New Roman" w:hAnsi="Times New Roman"/>
          <w:b w:val="false"/>
          <w:color w:val="000000"/>
          <w:sz w:val="20"/>
        </w:rPr>
        <w:t xml:space="preserve">, and therefore are not classified as liabilities under </w:t>
      </w:r>
      <w:r>
        <w:rPr>
          <w:rFonts w:ascii="Times New Roman" w:hAnsi="Times New Roman"/>
          <w:b w:val="false"/>
          <w:i/>
          <w:color w:val="000000"/>
          <w:sz w:val="20"/>
        </w:rPr>
        <w:t>ASC 480, Distinguishing Liabilities from Equity</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On August 9, 2023, the Company announced the redemption of all of its outstanding Public Warrants and Private Warrants to purchase shares of Common Stock that were issued under the Warrant Agreement, dated as of August 5, 2021, by and among the Company and Continental Stock Transfer &amp; Trust Company, as warrant agent, at a redemption price of $0.01</w:t>
      </w:r>
      <w:r>
        <w:rPr>
          <w:rFonts w:ascii="Times New Roman" w:hAnsi="Times New Roman"/>
          <w:color w:val="000000"/>
          <w:sz w:val="20"/>
        </w:rPr>
        <w:t xml:space="preserve"> </w:t>
      </w:r>
      <w:r>
        <w:rPr>
          <w:rFonts w:ascii="Times New Roman" w:hAnsi="Times New Roman"/>
          <w:b w:val="false"/>
          <w:color w:val="000000"/>
          <w:sz w:val="20"/>
        </w:rPr>
        <w:t>per Warrant for those Warrants that remain outstanding following 5:00 p.m. New York City time on September 8, 2023.</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Under the terms of the Warrant Agreement, the Company was entitled to redeem all of its outstanding Warrants for $0.01</w:t>
      </w:r>
      <w:r>
        <w:rPr>
          <w:rFonts w:ascii="Times New Roman" w:hAnsi="Times New Roman"/>
          <w:color w:val="000000"/>
          <w:sz w:val="20"/>
        </w:rPr>
        <w:t xml:space="preserve"> </w:t>
      </w:r>
      <w:r>
        <w:rPr>
          <w:rFonts w:ascii="Times New Roman" w:hAnsi="Times New Roman"/>
          <w:b w:val="false"/>
          <w:color w:val="000000"/>
          <w:sz w:val="20"/>
        </w:rPr>
        <w:t>per Warrant if the reported closing price of the Company’s Common Stock was at least $18.00</w:t>
      </w:r>
      <w:r>
        <w:rPr>
          <w:rFonts w:ascii="Times New Roman" w:hAnsi="Times New Roman"/>
          <w:color w:val="000000"/>
          <w:sz w:val="20"/>
        </w:rPr>
        <w:t xml:space="preserve"> </w:t>
      </w:r>
      <w:r>
        <w:rPr>
          <w:rFonts w:ascii="Times New Roman" w:hAnsi="Times New Roman"/>
          <w:b w:val="false"/>
          <w:color w:val="000000"/>
          <w:sz w:val="20"/>
        </w:rPr>
        <w:t>per share on each of twenty trading days within a thirty trading day period ending on the third trading day prior to the date on which a notice of redemption is given. This performance threshold was achieved following the market close on August 4, 2023.</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A total of 324,546</w:t>
      </w:r>
      <w:r>
        <w:rPr>
          <w:rFonts w:ascii="Times New Roman" w:hAnsi="Times New Roman"/>
          <w:color w:val="000000"/>
          <w:sz w:val="20"/>
        </w:rPr>
        <w:t xml:space="preserve"> </w:t>
      </w:r>
      <w:r>
        <w:rPr>
          <w:rFonts w:ascii="Times New Roman" w:hAnsi="Times New Roman"/>
          <w:b w:val="false"/>
          <w:color w:val="000000"/>
          <w:sz w:val="20"/>
        </w:rPr>
        <w:t>Warrants were exercised through September 8, 2023, resulting in proceeds, net of issuance costs, of $3.7</w:t>
      </w:r>
      <w:r>
        <w:rPr>
          <w:rFonts w:ascii="Times New Roman" w:hAnsi="Times New Roman"/>
          <w:color w:val="000000"/>
          <w:sz w:val="20"/>
        </w:rPr>
        <w:t xml:space="preserve"> </w:t>
      </w:r>
      <w:r>
        <w:rPr>
          <w:rFonts w:ascii="Times New Roman" w:hAnsi="Times New Roman"/>
          <w:b w:val="false"/>
          <w:color w:val="000000"/>
          <w:sz w:val="20"/>
        </w:rPr>
        <w:t>million. All other Warrants were redeemed on September 8,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paid $0.1</w:t>
      </w:r>
      <w:r>
        <w:rPr>
          <w:rFonts w:ascii="Times New Roman" w:hAnsi="Times New Roman"/>
          <w:color w:val="000000"/>
          <w:sz w:val="20"/>
        </w:rPr>
        <w:t xml:space="preserve"> </w:t>
      </w:r>
      <w:r>
        <w:rPr>
          <w:rFonts w:ascii="Times New Roman" w:hAnsi="Times New Roman"/>
          <w:b w:val="false"/>
          <w:color w:val="000000"/>
          <w:sz w:val="20"/>
        </w:rPr>
        <w:t>million for the remaining Warrants that were not exercised as of September 8, 2023, which was recorded as a reduction to additional paid-in capital on the Company's condensed consolidated balance sheet. During the three and nine months ended September 30, 2023, there were 324,546</w:t>
      </w:r>
      <w:r>
        <w:rPr>
          <w:rFonts w:ascii="Times New Roman" w:hAnsi="Times New Roman"/>
          <w:color w:val="000000"/>
          <w:sz w:val="20"/>
        </w:rPr>
        <w:t xml:space="preserve"> </w:t>
      </w:r>
      <w:r>
        <w:rPr>
          <w:rFonts w:ascii="Times New Roman" w:hAnsi="Times New Roman"/>
          <w:b w:val="false"/>
          <w:color w:val="000000"/>
          <w:sz w:val="20"/>
        </w:rPr>
        <w:t>exercises of Warrants.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Convertible Preferred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connection with the Business Combination, as discussed in Note 3, the Company issued 47,918,992</w:t>
      </w:r>
      <w:r>
        <w:rPr>
          <w:rFonts w:ascii="Times New Roman" w:hAnsi="Times New Roman"/>
          <w:color w:val="000000"/>
          <w:sz w:val="20"/>
        </w:rPr>
        <w:t xml:space="preserve"> </w:t>
      </w:r>
      <w:r>
        <w:rPr>
          <w:rFonts w:ascii="Times New Roman" w:hAnsi="Times New Roman"/>
          <w:b w:val="false"/>
          <w:color w:val="000000"/>
          <w:sz w:val="20"/>
        </w:rPr>
        <w:t>shares of Common Stock to holders of convertible preferred stock of Legacy Tigo. No</w:t>
      </w:r>
      <w:r>
        <w:rPr>
          <w:rFonts w:ascii="Times New Roman" w:hAnsi="Times New Roman"/>
          <w:color w:val="000000"/>
          <w:sz w:val="20"/>
        </w:rPr>
        <w:t xml:space="preserve"> </w:t>
      </w:r>
      <w:r>
        <w:rPr>
          <w:rFonts w:ascii="Times New Roman" w:hAnsi="Times New Roman"/>
          <w:b w:val="false"/>
          <w:color w:val="000000"/>
          <w:sz w:val="20"/>
        </w:rPr>
        <w:t>convertible preferred securities were outstanding as of September 30, 2023. Prior to the Business Combination, Legacy Tigo's convertible preferred stock was classified outside of stockholders’ deficit because the shares contained deemed liquidation rights that were contingent redemption features not solely within the control of Legacy Tigo. As a result, all of Legacy Tigo's convertible preferred stock was classified as mezzanine equity.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During the nine months ended September 30, 2022, Legacy Tigo sold an aggregate of 7,832,394</w:t>
      </w:r>
      <w:r>
        <w:rPr>
          <w:rFonts w:ascii="Times New Roman" w:hAnsi="Times New Roman"/>
          <w:color w:val="000000"/>
          <w:sz w:val="20"/>
        </w:rPr>
        <w:t xml:space="preserve"> </w:t>
      </w:r>
      <w:r>
        <w:rPr>
          <w:rFonts w:ascii="Times New Roman" w:hAnsi="Times New Roman"/>
          <w:b w:val="false"/>
          <w:color w:val="000000"/>
          <w:sz w:val="20"/>
        </w:rPr>
        <w:t>shares of its Series E convertible preferred stock (“Series E”) in exchange for gross proceeds of $41.0</w:t>
      </w:r>
      <w:r>
        <w:rPr>
          <w:rFonts w:ascii="Times New Roman" w:hAnsi="Times New Roman"/>
          <w:color w:val="000000"/>
          <w:sz w:val="20"/>
        </w:rPr>
        <w:t xml:space="preserve"> </w:t>
      </w:r>
      <w:r>
        <w:rPr>
          <w:rFonts w:ascii="Times New Roman" w:hAnsi="Times New Roman"/>
          <w:b w:val="false"/>
          <w:color w:val="000000"/>
          <w:sz w:val="20"/>
        </w:rPr>
        <w:t>million. Legacy Tigo incurred $0.1</w:t>
      </w:r>
      <w:r>
        <w:rPr>
          <w:rFonts w:ascii="Times New Roman" w:hAnsi="Times New Roman"/>
          <w:color w:val="000000"/>
          <w:sz w:val="20"/>
        </w:rPr>
        <w:t xml:space="preserve"> </w:t>
      </w:r>
      <w:r>
        <w:rPr>
          <w:rFonts w:ascii="Times New Roman" w:hAnsi="Times New Roman"/>
          <w:b w:val="false"/>
          <w:color w:val="000000"/>
          <w:sz w:val="20"/>
        </w:rPr>
        <w:t>million in issuance costs for the Series E sale.</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At December 31, 2022, convertible preferred stock consisted of the following. The Company has retroactively adjusted the shares issued and outstanding to reflect the exchange ratio of 0.233335</w:t>
      </w:r>
      <w:r>
        <w:rPr>
          <w:rFonts w:ascii="Times New Roman" w:hAnsi="Times New Roman"/>
          <w:color w:val="000000"/>
          <w:sz w:val="20"/>
        </w:rPr>
        <w:t xml:space="preserve"> </w:t>
      </w:r>
      <w:r>
        <w:rPr>
          <w:rFonts w:ascii="Times New Roman" w:hAnsi="Times New Roman"/>
          <w:b w:val="false"/>
          <w:color w:val="000000"/>
          <w:sz w:val="20"/>
        </w:rPr>
        <w:t>as described in Note 3.</w:t>
      </w:r>
    </w:p>
    <w:p>
      <w:pPr>
        <w:pStyle w:val="TextBody"/>
        <w:bidi w:val="0"/>
        <w:jc w:val="left"/>
        <w:rPr/>
      </w:pPr>
      <w:r>
        <w:rPr/>
        <w:t> </w:t>
      </w:r>
    </w:p>
    <w:tbl>
      <w:tblPr>
        <w:tblW w:w="8332"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1036"/>
        <w:gridCol w:w="146"/>
        <w:gridCol w:w="146"/>
        <w:gridCol w:w="211"/>
        <w:gridCol w:w="676"/>
        <w:gridCol w:w="146"/>
        <w:gridCol w:w="146"/>
        <w:gridCol w:w="211"/>
        <w:gridCol w:w="781"/>
        <w:gridCol w:w="2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share data)</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 xml:space="preserve">Issued and </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Carrying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Liquidation </w:t>
              <w:br/>
              <w:t>Preference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8,601,120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7,832,394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45,371</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11,513,253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29,831</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C-1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18,000</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C</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6,318,524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6,070,151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13,442</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7,172,501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7,172,501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11,199</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1,546,441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2,918</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4,182</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1,604</w:t>
            </w:r>
          </w:p>
        </w:tc>
        <w:tc>
          <w:tcPr>
            <w:tcW w:w="29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1,021</w:t>
            </w:r>
          </w:p>
        </w:tc>
        <w:tc>
          <w:tcPr>
            <w:tcW w:w="2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A-1</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7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47,484,663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46,467,565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Convertible Preferred Stock Warrants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Warrants to purchase a total of 1,064,446</w:t>
      </w:r>
      <w:r>
        <w:rPr>
          <w:rFonts w:ascii="Times New Roman" w:hAnsi="Times New Roman"/>
          <w:color w:val="000000"/>
          <w:sz w:val="20"/>
        </w:rPr>
        <w:t xml:space="preserve"> </w:t>
      </w:r>
      <w:r>
        <w:rPr>
          <w:rFonts w:ascii="Times New Roman" w:hAnsi="Times New Roman"/>
          <w:b w:val="false"/>
          <w:color w:val="000000"/>
          <w:sz w:val="20"/>
        </w:rPr>
        <w:t>shares of Series C convertible preferred stock of Legacy Tigo were initially recognized as a liability and recorded at fair value upon issuance and were subject to remeasurement to fair value at each balance sheet date. As part of the Business Combination, Legacy Tigo convertible preferred stock was remeasured immediately before the Merger date, and was subsequently converted into Legacy Tigo common stock pursuant to the conversion rate in effect immediately prior to the consummation of the Business Combination and all related Legacy Tigo convertible preferred stock warrants were converted into warrants exercisable for shares of Common Stock with terms consistent with the Legacy Tigo convertible preferred stock warrants except for the number of shares exercisable and the exercise price, each of which was adjusted using the Exchange Ratio. In connection with the Business Combination, as discussed in Note 3, all outstanding Series C convertible preferred stock warrants were exercised resulting in the net issuance of 828,733</w:t>
      </w:r>
      <w:r>
        <w:rPr>
          <w:rFonts w:ascii="Times New Roman" w:hAnsi="Times New Roman"/>
          <w:color w:val="000000"/>
          <w:sz w:val="20"/>
        </w:rPr>
        <w:t xml:space="preserve"> </w:t>
      </w:r>
      <w:r>
        <w:rPr>
          <w:rFonts w:ascii="Times New Roman" w:hAnsi="Times New Roman"/>
          <w:b w:val="false"/>
          <w:color w:val="000000"/>
          <w:sz w:val="20"/>
        </w:rPr>
        <w:t>shares of convertible preferred stock which were immediately converted into Common Stock in connection with the recapitalization. As of September 30, 2023, there were no</w:t>
      </w:r>
      <w:r>
        <w:rPr>
          <w:rFonts w:ascii="Times New Roman" w:hAnsi="Times New Roman"/>
          <w:color w:val="000000"/>
          <w:sz w:val="20"/>
        </w:rPr>
        <w:t xml:space="preserve"> </w:t>
      </w:r>
      <w:r>
        <w:rPr>
          <w:rFonts w:ascii="Times New Roman" w:hAnsi="Times New Roman"/>
          <w:b w:val="false"/>
          <w:color w:val="000000"/>
          <w:sz w:val="20"/>
        </w:rPr>
        <w:t>convertible preferred stock warrants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w:t>
      </w:r>
      <w:r>
        <w:rPr>
          <w:rFonts w:ascii="Times New Roman" w:hAnsi="Times New Roman"/>
          <w:color w:val="000000"/>
          <w:sz w:val="20"/>
        </w:rPr>
        <w:t xml:space="preserve"> </w:t>
      </w:r>
      <w:r>
        <w:rPr>
          <w:rFonts w:ascii="Times New Roman" w:hAnsi="Times New Roman"/>
          <w:b w:val="false"/>
          <w:color w:val="000000"/>
          <w:sz w:val="20"/>
        </w:rPr>
        <w:t>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Through September 30, 2023, there have been no exercises of common stock options prior to the vesting of such options. Options outstanding under the 2008 Plan will remain outstanding until they are exercised, canceled or expire.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is determined by the Board of Directors. Options generally vest over a four-year period with a one-year cliff. The option term is no longer than five years for incentive stock options for which the grantee owns greater than 10% of the Company’s capital stock and no longer than 10</w:t>
      </w:r>
      <w:r>
        <w:rPr>
          <w:rFonts w:ascii="Times New Roman" w:hAnsi="Times New Roman"/>
          <w:color w:val="000000"/>
          <w:sz w:val="20"/>
        </w:rPr>
        <w:t xml:space="preserve"> </w:t>
      </w:r>
      <w:r>
        <w:rPr>
          <w:rFonts w:ascii="Times New Roman" w:hAnsi="Times New Roman"/>
          <w:b w:val="false"/>
          <w:color w:val="000000"/>
          <w:sz w:val="20"/>
        </w:rPr>
        <w:t>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 Through September 30, 2023, there have been 1,458</w:t>
      </w:r>
      <w:r>
        <w:rPr>
          <w:rFonts w:ascii="Times New Roman" w:hAnsi="Times New Roman"/>
          <w:color w:val="000000"/>
          <w:sz w:val="20"/>
        </w:rPr>
        <w:t xml:space="preserve"> </w:t>
      </w:r>
      <w:r>
        <w:rPr>
          <w:rFonts w:ascii="Times New Roman" w:hAnsi="Times New Roman"/>
          <w:b w:val="false"/>
          <w:color w:val="000000"/>
          <w:sz w:val="20"/>
        </w:rPr>
        <w:t>exercises of common stock options prior to the vesting of such options.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May 2023, the Company adopted the 2023 Equity Incentive Plan (“2023 Plan”) under which the Company may issue stock options to purchase shares of common stock, award restricted stock, restricted stock units (”RSU”), dividend equivalents, stock appreciation rights, and other stock-based or cash-based awards to employees, Directors and consultants.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Through September 30, 2023, the Company has granted 1,170,685</w:t>
      </w:r>
      <w:r>
        <w:rPr>
          <w:rFonts w:ascii="Times New Roman" w:hAnsi="Times New Roman"/>
          <w:color w:val="000000"/>
          <w:sz w:val="20"/>
        </w:rPr>
        <w:t xml:space="preserve"> </w:t>
      </w:r>
      <w:r>
        <w:rPr>
          <w:rFonts w:ascii="Times New Roman" w:hAnsi="Times New Roman"/>
          <w:b w:val="false"/>
          <w:color w:val="000000"/>
          <w:sz w:val="20"/>
        </w:rPr>
        <w:t>options to purchase shares of common stock and 938,771</w:t>
      </w:r>
      <w:r>
        <w:rPr>
          <w:rFonts w:ascii="Times New Roman" w:hAnsi="Times New Roman"/>
          <w:color w:val="000000"/>
          <w:sz w:val="20"/>
        </w:rPr>
        <w:t xml:space="preserve"> </w:t>
      </w:r>
      <w:r>
        <w:rPr>
          <w:rFonts w:ascii="Times New Roman" w:hAnsi="Times New Roman"/>
          <w:b w:val="false"/>
          <w:color w:val="000000"/>
          <w:sz w:val="20"/>
        </w:rPr>
        <w:t>RSU’s under the 2023 plan. The options and RSU’s generally vest over a four-year</w:t>
      </w:r>
      <w:r>
        <w:rPr>
          <w:rFonts w:ascii="Times New Roman" w:hAnsi="Times New Roman"/>
          <w:color w:val="000000"/>
          <w:sz w:val="20"/>
        </w:rPr>
        <w:t xml:space="preserve"> </w:t>
      </w:r>
      <w:r>
        <w:rPr>
          <w:rFonts w:ascii="Times New Roman" w:hAnsi="Times New Roman"/>
          <w:b w:val="false"/>
          <w:color w:val="000000"/>
          <w:sz w:val="20"/>
        </w:rPr>
        <w:t>period following the date of grant, with 25% vesting on the first anniversary of the grant date and the remaining vesting in equal monthly installments thereafter. Through September 30, 2023, there have been no</w:t>
      </w:r>
      <w:r>
        <w:rPr>
          <w:rFonts w:ascii="Times New Roman" w:hAnsi="Times New Roman"/>
          <w:color w:val="000000"/>
          <w:sz w:val="20"/>
        </w:rPr>
        <w:t xml:space="preserve"> </w:t>
      </w:r>
      <w:r>
        <w:rPr>
          <w:rFonts w:ascii="Times New Roman" w:hAnsi="Times New Roman"/>
          <w:b w:val="false"/>
          <w:color w:val="000000"/>
          <w:sz w:val="20"/>
        </w:rPr>
        <w:t>options or RSU’s under the 2023 plan that have vested and there have been no</w:t>
      </w:r>
      <w:r>
        <w:rPr>
          <w:rFonts w:ascii="Times New Roman" w:hAnsi="Times New Roman"/>
          <w:color w:val="000000"/>
          <w:sz w:val="20"/>
        </w:rPr>
        <w:t xml:space="preserve"> </w:t>
      </w:r>
      <w:r>
        <w:rPr>
          <w:rFonts w:ascii="Times New Roman" w:hAnsi="Times New Roman"/>
          <w:b w:val="false"/>
          <w:color w:val="000000"/>
          <w:sz w:val="20"/>
        </w:rPr>
        <w:t>exercises of any options or RSU’s.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Collectively, the 2008 Stock Plan, 2018 Stock Plan and the 2023 Equity Incentive Plan are referred to as “the Plans”. The Company has reserved 4,649,266</w:t>
      </w:r>
      <w:r>
        <w:rPr>
          <w:rFonts w:ascii="Times New Roman" w:hAnsi="Times New Roman"/>
          <w:color w:val="000000"/>
          <w:sz w:val="20"/>
        </w:rPr>
        <w:t xml:space="preserve"> </w:t>
      </w:r>
      <w:r>
        <w:rPr>
          <w:rFonts w:ascii="Times New Roman" w:hAnsi="Times New Roman"/>
          <w:b w:val="false"/>
          <w:color w:val="000000"/>
          <w:sz w:val="20"/>
        </w:rPr>
        <w:t>shares of common stock for future issuance under the Plans.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and comprehensive loss: </w:t>
      </w:r>
    </w:p>
    <w:p>
      <w:pPr>
        <w:pStyle w:val="TextBody"/>
        <w:bidi w:val="0"/>
        <w:jc w:val="both"/>
        <w:rPr/>
      </w:pPr>
      <w:r>
        <w:rPr/>
        <w:t> </w:t>
      </w:r>
    </w:p>
    <w:tbl>
      <w:tblPr>
        <w:tblW w:w="9253" w:type="dxa"/>
        <w:jc w:val="left"/>
        <w:tblInd w:w="0" w:type="dxa"/>
        <w:tblLayout w:type="fixed"/>
        <w:tblCellMar>
          <w:top w:w="28" w:type="dxa"/>
          <w:left w:w="28" w:type="dxa"/>
          <w:bottom w:w="28" w:type="dxa"/>
          <w:right w:w="28" w:type="dxa"/>
        </w:tblCellMar>
      </w:tblPr>
      <w:tblGrid>
        <w:gridCol w:w="2946"/>
        <w:gridCol w:w="346"/>
        <w:gridCol w:w="269"/>
        <w:gridCol w:w="728"/>
        <w:gridCol w:w="441"/>
        <w:gridCol w:w="441"/>
        <w:gridCol w:w="269"/>
        <w:gridCol w:w="536"/>
        <w:gridCol w:w="146"/>
        <w:gridCol w:w="146"/>
        <w:gridCol w:w="321"/>
        <w:gridCol w:w="868"/>
        <w:gridCol w:w="222"/>
        <w:gridCol w:w="222"/>
        <w:gridCol w:w="321"/>
        <w:gridCol w:w="640"/>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1" w:type="dxa"/>
            <w:tcBorders/>
            <w:shd w:fill="FFFFFF" w:val="cle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441"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222"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391" w:type="dxa"/>
            <w:tcBorders/>
            <w:shd w:fill="CFF0FC" w:val="clear"/>
            <w:vAlign w:val="center"/>
          </w:tcPr>
          <w:p>
            <w:pPr>
              <w:pStyle w:val="TableContents"/>
              <w:bidi w:val="0"/>
              <w:spacing w:before="0" w:after="283"/>
              <w:jc w:val="left"/>
              <w:rPr/>
            </w:pPr>
            <w:r>
              <w:rPr/>
              <w:t> </w:t>
            </w:r>
          </w:p>
        </w:tc>
      </w:tr>
      <w:tr>
        <w:trPr/>
        <w:tc>
          <w:tcPr>
            <w:tcW w:w="2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3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441"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w:t>
            </w:r>
          </w:p>
        </w:tc>
        <w:tc>
          <w:tcPr>
            <w:tcW w:w="22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391" w:type="dxa"/>
            <w:tcBorders/>
            <w:shd w:fill="FFFFFF" w:val="clear"/>
            <w:vAlign w:val="center"/>
          </w:tcPr>
          <w:p>
            <w:pPr>
              <w:pStyle w:val="TableContents"/>
              <w:bidi w:val="0"/>
              <w:spacing w:before="0" w:after="283"/>
              <w:jc w:val="left"/>
              <w:rPr/>
            </w:pPr>
            <w:r>
              <w:rPr/>
              <w:t> </w:t>
            </w:r>
          </w:p>
        </w:tc>
      </w:tr>
      <w:tr>
        <w:trPr/>
        <w:tc>
          <w:tcPr>
            <w:tcW w:w="2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3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441"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222"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391" w:type="dxa"/>
            <w:tcBorders/>
            <w:shd w:fill="CFF0FC" w:val="clear"/>
            <w:vAlign w:val="center"/>
          </w:tcPr>
          <w:p>
            <w:pPr>
              <w:pStyle w:val="TableContents"/>
              <w:bidi w:val="0"/>
              <w:spacing w:before="0" w:after="283"/>
              <w:jc w:val="left"/>
              <w:rPr/>
            </w:pPr>
            <w:r>
              <w:rPr/>
              <w:t> </w:t>
            </w:r>
          </w:p>
        </w:tc>
      </w:tr>
      <w:tr>
        <w:trPr/>
        <w:tc>
          <w:tcPr>
            <w:tcW w:w="2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w:t>
            </w:r>
          </w:p>
        </w:tc>
        <w:tc>
          <w:tcPr>
            <w:tcW w:w="44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1" w:type="dxa"/>
            <w:tcBorders/>
            <w:shd w:fill="CFF0FC" w:val="clear"/>
            <w:vAlign w:val="center"/>
          </w:tcPr>
          <w:p>
            <w:pPr>
              <w:pStyle w:val="TableContents"/>
              <w:bidi w:val="0"/>
              <w:spacing w:before="0" w:after="283"/>
              <w:ind w:left="200" w:right="0" w:firstLine="200"/>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Stock Options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summarizes stock option activity for the Plans for the nine months ended September 30, 2023:</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35"/>
        <w:gridCol w:w="146"/>
        <w:gridCol w:w="146"/>
        <w:gridCol w:w="931"/>
        <w:gridCol w:w="166"/>
        <w:gridCol w:w="146"/>
        <w:gridCol w:w="272"/>
        <w:gridCol w:w="742"/>
        <w:gridCol w:w="146"/>
        <w:gridCol w:w="146"/>
        <w:gridCol w:w="235"/>
        <w:gridCol w:w="755"/>
        <w:gridCol w:w="146"/>
        <w:gridCol w:w="146"/>
        <w:gridCol w:w="535"/>
        <w:gridCol w:w="1717"/>
        <w:gridCol w:w="295"/>
      </w:tblGrid>
      <w:tr>
        <w:trPr/>
        <w:tc>
          <w:tcPr>
            <w:tcW w:w="3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4,269,402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2"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353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2"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353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(415,615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52"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353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2"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35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5,145,445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21,683</w:t>
            </w:r>
          </w:p>
        </w:tc>
        <w:tc>
          <w:tcPr>
            <w:tcW w:w="295" w:type="dxa"/>
            <w:tcBorders/>
            <w:shd w:fill="CFF0FC"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2,625,266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16,304</w:t>
            </w:r>
          </w:p>
        </w:tc>
        <w:tc>
          <w:tcPr>
            <w:tcW w:w="295" w:type="dxa"/>
            <w:tcBorders/>
            <w:shd w:fill="FFFFFF" w:val="clear"/>
            <w:vAlign w:val="center"/>
          </w:tcPr>
          <w:p>
            <w:pPr>
              <w:pStyle w:val="TableContents"/>
              <w:bidi w:val="0"/>
              <w:spacing w:before="0" w:after="283"/>
              <w:jc w:val="left"/>
              <w:rPr/>
            </w:pPr>
            <w:r>
              <w:rPr/>
              <w:t> </w:t>
            </w:r>
          </w:p>
        </w:tc>
      </w:tr>
      <w:tr>
        <w:trPr/>
        <w:tc>
          <w:tcPr>
            <w:tcW w:w="35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5,145,445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2"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shares of the Company’s stock options prior to the Business Combination (as defined in Note 1) have been retroactively restated to reflect the exchange ratio of approximately 0.233335</w:t>
      </w:r>
      <w:r>
        <w:rPr>
          <w:rFonts w:ascii="Times New Roman" w:hAnsi="Times New Roman"/>
          <w:color w:val="000000"/>
          <w:sz w:val="20"/>
        </w:rPr>
        <w:t xml:space="preserve"> </w:t>
      </w:r>
      <w:r>
        <w:rPr>
          <w:rFonts w:ascii="Times New Roman" w:hAnsi="Times New Roman"/>
          <w:b w:val="false"/>
          <w:color w:val="000000"/>
          <w:sz w:val="20"/>
        </w:rPr>
        <w:t>established in the Business Combination as described in Note 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of September 30, 2023, the total unrecognized compensation expense related to unvested stock option awards was $11.9</w:t>
      </w:r>
      <w:r>
        <w:rPr>
          <w:rFonts w:ascii="Times New Roman" w:hAnsi="Times New Roman"/>
          <w:color w:val="000000"/>
          <w:sz w:val="20"/>
        </w:rPr>
        <w:t xml:space="preserve"> </w:t>
      </w:r>
      <w:r>
        <w:rPr>
          <w:rFonts w:ascii="Times New Roman" w:hAnsi="Times New Roman"/>
          <w:b w:val="false"/>
          <w:color w:val="000000"/>
          <w:sz w:val="20"/>
        </w:rPr>
        <w:t>million, which the Company expects to recognize over a weighted-average period of 3.4</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expected dividend yield is 0% because the Company has not historically paid and does not expect in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fair value of each option was estimated on the date of grant using the weighted average assumptions in the table below:</w:t>
      </w:r>
      <w:r>
        <w:rPr>
          <w:rFonts w:ascii="Times New Roman" w:hAnsi="Times New Roman"/>
          <w:color w:val="000000"/>
          <w:sz w:val="20"/>
        </w:rPr>
        <w:t xml:space="preserve"> </w:t>
      </w:r>
    </w:p>
    <w:p>
      <w:pPr>
        <w:pStyle w:val="TextBody"/>
        <w:bidi w:val="0"/>
        <w:jc w:val="both"/>
        <w:rPr/>
      </w:pPr>
      <w:r>
        <w:rPr/>
        <w:t> </w:t>
      </w:r>
    </w:p>
    <w:tbl>
      <w:tblPr>
        <w:tblW w:w="6100" w:type="dxa"/>
        <w:jc w:val="left"/>
        <w:tblInd w:w="0" w:type="dxa"/>
        <w:tblLayout w:type="fixed"/>
        <w:tblCellMar>
          <w:top w:w="28" w:type="dxa"/>
          <w:left w:w="28" w:type="dxa"/>
          <w:bottom w:w="28" w:type="dxa"/>
          <w:right w:w="28" w:type="dxa"/>
        </w:tblCellMar>
      </w:tblPr>
      <w:tblGrid>
        <w:gridCol w:w="2131"/>
        <w:gridCol w:w="146"/>
        <w:gridCol w:w="367"/>
        <w:gridCol w:w="1178"/>
        <w:gridCol w:w="271"/>
        <w:gridCol w:w="146"/>
        <w:gridCol w:w="367"/>
        <w:gridCol w:w="1178"/>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(in years)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316"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Restricted Stock Units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RSU activity for the Plans for the nine months ended September 30, 2023:</w:t>
      </w:r>
    </w:p>
    <w:tbl>
      <w:tblPr>
        <w:tblW w:w="6982" w:type="dxa"/>
        <w:jc w:val="left"/>
        <w:tblInd w:w="0" w:type="dxa"/>
        <w:tblLayout w:type="fixed"/>
        <w:tblCellMar>
          <w:top w:w="28" w:type="dxa"/>
          <w:left w:w="28" w:type="dxa"/>
          <w:bottom w:w="28" w:type="dxa"/>
          <w:right w:w="28" w:type="dxa"/>
        </w:tblCellMar>
      </w:tblPr>
      <w:tblGrid>
        <w:gridCol w:w="2986"/>
        <w:gridCol w:w="146"/>
        <w:gridCol w:w="146"/>
        <w:gridCol w:w="781"/>
        <w:gridCol w:w="146"/>
        <w:gridCol w:w="146"/>
        <w:gridCol w:w="629"/>
        <w:gridCol w:w="1711"/>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938,771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11.39</w:t>
            </w:r>
          </w:p>
        </w:tc>
        <w:tc>
          <w:tcPr>
            <w:tcW w:w="2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the total unrecognized compensation expense related to unvested RSU's was $10.2</w:t>
      </w:r>
      <w:r>
        <w:rPr>
          <w:rFonts w:ascii="Times New Roman" w:hAnsi="Times New Roman"/>
          <w:color w:val="000000"/>
          <w:sz w:val="20"/>
        </w:rPr>
        <w:t xml:space="preserve"> </w:t>
      </w:r>
      <w:r>
        <w:rPr>
          <w:rFonts w:ascii="Times New Roman" w:hAnsi="Times New Roman"/>
          <w:b w:val="false"/>
          <w:color w:val="000000"/>
          <w:sz w:val="20"/>
        </w:rPr>
        <w:t>million, which the Company expects to recognize over a weighted-average period of 2.7</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a lessee, the Company currently leases office space and vehicles in the United States, Italy, Israel, China,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its leases include rental escalation clauses, renewal options and/or termination options that are factored into the Company’s determination of lease payments.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seven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components of lease expense are as follows (in thousands):</w:t>
      </w:r>
    </w:p>
    <w:p>
      <w:pPr>
        <w:pStyle w:val="TextBody"/>
        <w:bidi w:val="0"/>
        <w:jc w:val="both"/>
        <w:rPr/>
      </w:pPr>
      <w:r>
        <w:rPr/>
        <w:t> </w:t>
      </w:r>
    </w:p>
    <w:tbl>
      <w:tblPr>
        <w:tblW w:w="8140" w:type="dxa"/>
        <w:jc w:val="left"/>
        <w:tblInd w:w="0" w:type="dxa"/>
        <w:tblLayout w:type="fixed"/>
        <w:tblCellMar>
          <w:top w:w="28" w:type="dxa"/>
          <w:left w:w="28" w:type="dxa"/>
          <w:bottom w:w="28" w:type="dxa"/>
          <w:right w:w="28" w:type="dxa"/>
        </w:tblCellMar>
      </w:tblPr>
      <w:tblGrid>
        <w:gridCol w:w="2031"/>
        <w:gridCol w:w="146"/>
        <w:gridCol w:w="894"/>
        <w:gridCol w:w="1791"/>
        <w:gridCol w:w="146"/>
        <w:gridCol w:w="146"/>
        <w:gridCol w:w="700"/>
        <w:gridCol w:w="1895"/>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shd w:fill="FFFFFF" w:val="cle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costs</w:t>
            </w:r>
          </w:p>
        </w:tc>
        <w:tc>
          <w:tcPr>
            <w:tcW w:w="146"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Variable lease costs</w:t>
            </w:r>
          </w:p>
        </w:tc>
        <w:tc>
          <w:tcPr>
            <w:tcW w:w="146" w:type="dxa"/>
            <w:tcBorders/>
            <w:shd w:fill="FFFFFF" w:val="cle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Other information related to leases was as follows:</w:t>
      </w:r>
    </w:p>
    <w:p>
      <w:pPr>
        <w:pStyle w:val="TextBody"/>
        <w:bidi w:val="0"/>
        <w:jc w:val="both"/>
        <w:rPr/>
      </w:pPr>
      <w:r>
        <w:rPr/>
        <w:t> </w:t>
      </w:r>
    </w:p>
    <w:tbl>
      <w:tblPr>
        <w:tblW w:w="8938" w:type="dxa"/>
        <w:jc w:val="left"/>
        <w:tblInd w:w="0" w:type="dxa"/>
        <w:tblLayout w:type="fixed"/>
        <w:tblCellMar>
          <w:top w:w="28" w:type="dxa"/>
          <w:left w:w="28" w:type="dxa"/>
          <w:bottom w:w="28" w:type="dxa"/>
          <w:right w:w="28" w:type="dxa"/>
        </w:tblCellMar>
      </w:tblPr>
      <w:tblGrid>
        <w:gridCol w:w="5906"/>
        <w:gridCol w:w="146"/>
        <w:gridCol w:w="700"/>
        <w:gridCol w:w="1895"/>
        <w:gridCol w:w="291"/>
      </w:tblGrid>
      <w:tr>
        <w:trPr/>
        <w:tc>
          <w:tcPr>
            <w:tcW w:w="5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shd w:fill="FFFFFF" w:val="clear"/>
            <w:vAlign w:val="center"/>
          </w:tcPr>
          <w:p>
            <w:pPr>
              <w:pStyle w:val="TableContents"/>
              <w:bidi w:val="0"/>
              <w:spacing w:before="0" w:after="283"/>
              <w:jc w:val="center"/>
              <w:rPr/>
            </w:pPr>
            <w:r>
              <w:rPr/>
              <w:t> </w:t>
            </w:r>
          </w:p>
        </w:tc>
      </w:tr>
      <w:tr>
        <w:trPr/>
        <w:tc>
          <w:tcPr>
            <w:tcW w:w="5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90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2,187</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4101"/>
        <w:gridCol w:w="146"/>
        <w:gridCol w:w="443"/>
        <w:gridCol w:w="1102"/>
        <w:gridCol w:w="271"/>
        <w:gridCol w:w="146"/>
        <w:gridCol w:w="430"/>
        <w:gridCol w:w="1070"/>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Future maturities of lease liabilities were as follows as of September 30, 2023:</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the Company had a goodwill balance of $13.1</w:t>
      </w:r>
      <w:r>
        <w:rPr>
          <w:rFonts w:ascii="Times New Roman" w:hAnsi="Times New Roman"/>
          <w:color w:val="000000"/>
          <w:sz w:val="20"/>
        </w:rPr>
        <w:t xml:space="preserve"> </w:t>
      </w:r>
      <w:r>
        <w:rPr>
          <w:rFonts w:ascii="Times New Roman" w:hAnsi="Times New Roman"/>
          <w:b w:val="false"/>
          <w:color w:val="000000"/>
          <w:sz w:val="20"/>
        </w:rPr>
        <w:t>million. The goodwill balance is primarily related to the acquisition of fSight, refer to “Note 4” for further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shd w:fill="FFFFFF" w:val="cle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276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276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FFFFFF" w:val="clear"/>
            <w:vAlign w:val="center"/>
          </w:tcPr>
          <w:p>
            <w:pPr>
              <w:pStyle w:val="TableContents"/>
              <w:bidi w:val="0"/>
              <w:spacing w:before="0" w:after="283"/>
              <w:jc w:val="left"/>
              <w:rPr/>
            </w:pPr>
            <w:r>
              <w:rPr/>
              <w:t> </w:t>
            </w:r>
          </w:p>
        </w:tc>
        <w:tc>
          <w:tcPr>
            <w:tcW w:w="22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vAlign w:val="center"/>
          </w:tcPr>
          <w:p>
            <w:pPr>
              <w:pStyle w:val="TableContents"/>
              <w:bidi w:val="0"/>
              <w:spacing w:before="0" w:after="283"/>
              <w:jc w:val="left"/>
              <w:rPr/>
            </w:pPr>
            <w:r>
              <w:rPr/>
              <w:t> </w:t>
            </w:r>
          </w:p>
        </w:tc>
        <w:tc>
          <w:tcPr>
            <w:tcW w:w="22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2,260</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As of December 31, 2022, the Company did not have any intangible assets.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Company recognized amortization expense related to intangible assets of $0.1</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none</w:t>
      </w:r>
      <w:r>
        <w:rPr>
          <w:rFonts w:ascii="Times New Roman" w:hAnsi="Times New Roman"/>
          <w:color w:val="000000"/>
          <w:sz w:val="20"/>
        </w:rPr>
        <w:t xml:space="preserve"> </w:t>
      </w:r>
      <w:r>
        <w:rPr>
          <w:rFonts w:ascii="Times New Roman" w:hAnsi="Times New Roman"/>
          <w:b w:val="false"/>
          <w:color w:val="000000"/>
          <w:sz w:val="20"/>
        </w:rPr>
        <w:t>for the three months ended September 30, 2022. The Company recognized amortization expense related to acquired intangible assets of $0.2</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none</w:t>
      </w:r>
      <w:r>
        <w:rPr>
          <w:rFonts w:ascii="Times New Roman" w:hAnsi="Times New Roman"/>
          <w:color w:val="000000"/>
          <w:sz w:val="20"/>
        </w:rPr>
        <w:t xml:space="preserve"> </w:t>
      </w:r>
      <w:r>
        <w:rPr>
          <w:rFonts w:ascii="Times New Roman" w:hAnsi="Times New Roman"/>
          <w:b w:val="false"/>
          <w:color w:val="000000"/>
          <w:sz w:val="20"/>
        </w:rPr>
        <w:t>for the nine months ended September 30, 2022. Amortization expense is included in general and administrative expenses in the condensed consolidated statements of operations and comprehensive income (loss).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Amortization expense related to intangible assets at September 30, 2023 in each of the next five years and beyond is expected to be incurred as follows (in thousands):</w:t>
      </w:r>
    </w:p>
    <w:p>
      <w:pPr>
        <w:pStyle w:val="TextBody"/>
        <w:bidi w:val="0"/>
        <w:jc w:val="both"/>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211"/>
        <w:gridCol w:w="571"/>
        <w:gridCol w:w="14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57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146" w:type="dxa"/>
            <w:tcBorders/>
            <w:shd w:fill="CCEC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income tax expense, deferred tax assets and liabilities, and reserves for unrecognized tax benefits reflect management’s best assessment of estimated current and future taxes to be paid. The Company is subject to income taxes in both the United States and foreign jurisdictions. Significant judgment and estimates are required in determining the consolidated income tax expense.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second quarter of 2023, the Company assessed all available positive and negative evidence placing the most weight on objectively verifiable information. As such, the Company’s cumulative profit position was given the most weight and, based on estimated future sources of taxable income, the Company determined that the future benefits were more likely than not to be realized and released the valuation allowance against U.S. federal net deferred tax assets. The Company continued to record a valuation allowance against its state net deferred tax assets which is primarily the state of California deferred tax assets.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As of each reporting date, management considers new evidence, both positive and negative, that could affect its view of the future realization of deferred tax assets. In the third quarter of 2023, the Company and its industry overall experienced a significant change in outlook. As a result of the significant number of bankruptcies by installers, higher than expected order cancellations and pushouts, slower than expected installation rates, higher inventory levels in the channel and a general slowdown in the macroeconomic environment in the third quarter of 2023, the Company assessed all available positive and negative evidence and determined that its U.S. federal net deferred tax asset is no longer more likely than not realizable and recorded a valuation allowance against its U.S. federal net deferred tax assets. In making this determination, the Company placed the most weight on objectively verifiable information which was the Company’s cumulative loss position.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During interim periods, the Company generally utilizes the estimated annual effective tax rate method which involves the use of forecasted information. The discrete method of calculating the estimated effective tax rate involves the use of actual year-to-date information. The Company applied the discrete effective tax rate method for the period ended September 30, 2023. The Company determined that since nominal changes in estimated “ordinary” income would result in significant changes in the estimated annual effective tax rate, the discrete effective tax rate method would provide a more reliable estimate of income tax expense for the three and nine months ended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For the three months ended September 30, 2023, the Company recorded a tax expense and valuation allowance of $11.1</w:t>
      </w:r>
      <w:r>
        <w:rPr>
          <w:rFonts w:ascii="Times New Roman" w:hAnsi="Times New Roman"/>
          <w:color w:val="000000"/>
          <w:sz w:val="20"/>
        </w:rPr>
        <w:t xml:space="preserve"> </w:t>
      </w:r>
      <w:r>
        <w:rPr>
          <w:rFonts w:ascii="Times New Roman" w:hAnsi="Times New Roman"/>
          <w:b w:val="false"/>
          <w:color w:val="000000"/>
          <w:sz w:val="20"/>
        </w:rPr>
        <w:t>million on the basis of management’s reassessment of the amount of its deferred tax assets that are more likely than not to be realized. Income tax expense was $11.0</w:t>
      </w:r>
      <w:r>
        <w:rPr>
          <w:rFonts w:ascii="Times New Roman" w:hAnsi="Times New Roman"/>
          <w:color w:val="000000"/>
          <w:sz w:val="20"/>
        </w:rPr>
        <w:t xml:space="preserve"> </w:t>
      </w:r>
      <w:r>
        <w:rPr>
          <w:rFonts w:ascii="Times New Roman" w:hAnsi="Times New Roman"/>
          <w:b w:val="false"/>
          <w:color w:val="000000"/>
          <w:sz w:val="20"/>
        </w:rPr>
        <w:t>million and $29,000</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2023, respectively. The Company did not have income tax expense or income tax benefit for the three and nine months ended September 30, 2022.</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effective tax rates for the three months ended September 30, 2023, and 2022 were 27.4% and 0.0%, respectively. The effective tax rates for the nine months ended September 30, 2023, and 2022 were 0.0% and 0.0%, respectively. The item that had the most significant impact on the difference between the statutory U.S. federal income tax rate of 21% and the effective tax rate for the three months ended September 30, 2023, was the discrete tax expense of recording valuation allowance against U.S. net deferred tax assets. The item that had the most significant impact on the difference between the statutory U.S. federal income tax rate of 21% and the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Tigo Energy, Inc.</w:t>
      </w:r>
    </w:p>
    <w:p>
      <w:pPr>
        <w:pStyle w:val="TextBody"/>
        <w:bidi w:val="0"/>
        <w:jc w:val="left"/>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effective tax rate of 0.0% for the nine months ended September 30, 2023, was the change in valuation allowance which offset the tax benefit of book losses. The item that had the most significant impact on the difference between the statutory U.S. federal income tax rate of 21% and the effective tax rate of 0.0% for the three and nine months ended September 30, 2022, was the change in valuation allowance which offset the tax benefit of book losses.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of September 30, 2023, the Company’s U.S. federal and certain state tax returns remain subject to examination, beginning with those filed for the year ended December 31, 2013.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Related Party Transactions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Series C-1 Convertible Preferred Stock</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Series C-1 convertible preferred stock (Note 8) was issued to certain existing stockholders.</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Note Receivable from Related Parties and Related Party Payable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2022, there was $0.1</w:t>
      </w:r>
      <w:r>
        <w:rPr>
          <w:rFonts w:ascii="Times New Roman" w:hAnsi="Times New Roman"/>
          <w:color w:val="000000"/>
          <w:sz w:val="20"/>
        </w:rPr>
        <w:t xml:space="preserve"> </w:t>
      </w:r>
      <w:r>
        <w:rPr>
          <w:rFonts w:ascii="Times New Roman" w:hAnsi="Times New Roman"/>
          <w:b w:val="false"/>
          <w:color w:val="000000"/>
          <w:sz w:val="20"/>
        </w:rPr>
        <w:t>million of full recourse promissory notes from the Company’s Chief Executive Officer and former Directors. The full recourse promissory notes were forgiven in December 2022.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da"/>
      <w:bookmarkEnd w:id="8"/>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The following discussion should be read in conjunction with our Consolidated Condensed Financial Statements and the related notes that appear elsewhere in this Quarterly Report on Form 10-Q, and the audited consolidated financial statements of ROCG as of and for the years ended December 31, 2022 and 2021 and the related notes thereto contained on pages F-3 through F-24 of the Proxy Statement/Prospectus filed with the SEC on April 26, 2023</w:t>
      </w:r>
      <w:r>
        <w:rPr>
          <w:rFonts w:ascii="Times New Roman" w:hAnsi="Times New Roman"/>
          <w:b w:val="false"/>
          <w:color w:val="000000"/>
          <w:sz w:val="20"/>
        </w:rPr>
        <w:t xml:space="preserve">, </w:t>
      </w:r>
      <w:r>
        <w:rPr>
          <w:rFonts w:ascii="Times New Roman" w:hAnsi="Times New Roman"/>
          <w:b w:val="false"/>
          <w:i/>
          <w:color w:val="000000"/>
          <w:sz w:val="20"/>
        </w:rPr>
        <w:t>and for Legacy Tigo as of and for the years ended December 31, 2022 and 2021 and the related notes thereto contained on pages F-26 through F-53 of the Proxy Statement/Prospectus filed with the SEC on April 26, 2023.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Quarterly Report on Form 10-Q. Additionally, our historical results are not necessarily indicative of the results that may be expected for any period in the future. Unless otherwise indicated or the context otherwise requires, references in this section to “we,” “our,” “us,” “the Company” or other similar terms refer to the business and operations of Tigo Energy, Inc. and its subsidiaries prior to the Business Combination (“Legacy Tigo”) and Tigo Energy Inc. following the consummation of the Business Combination. References to “ROCG” refer to Roth CH Acquisition IV Co. prior to the consummation of the Business Combination.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we are a worldwide leader in the development and manufacturing of smart hardware and software solutions that enhance safety, increase energy yield, and lower operating costs of residential, commercial, and utility-scale solar systems. Our mission is to deliver products and solutions that are flexible and dependable, increase the energy generation of solar systems and lower operating costs. We expect to attract new customers and gain market share by expanding sales of our Module Level Power Electronics (“MLPE”) and Energy Intelligence Solution (“EI Solution”).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have served the solar energy industry with advanced power electronics, including the manufacturing and development of our MLPE since inception in 2007 and of our EI Solution introduced in 2021. We combine Flex MLPE and solar optimizer technology with intelligent, cloud-based software capabilities for advanced energy monitoring and control.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have historically focused on MLPE products, which are devices that attach to solar modules and can provide a number of features including improved safety and energy production. Our optimizers are designed to be highly flexible solutions that work with thousands of permutations of inverters and modules, providing the installer with significant choice when designing a system for the consumer. We began offering our EI solution to residential customers in the United States in September 2021 and to select customers in Europe in November 2022. Our products power everything from kilowatt-scale residential systems to much larger commercial, industrial, and utility systems, that scale to hundreds of megawatts on rooftop, ground-mounted, and floating applications.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primarily offer products and services through distributors and solar installers. We have a worldwide footprint with product installations in over 100 countries and on all seven continents.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 Warrant Redemption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connection with the Business Combination (as defined below), we assumed 5,750,000 Public Warrants (as defined above) and 18,750 Private Warrants (as defined above), which, in each case, entitle the holder to purchase one share of Common Stock at an exercise price of $11.50 per share. Except with respect to certain registration rights and transfer restrictions, the Private Warrants are identical to the Public Warrants. On August 9, 2023, we announced the redemption of all outstanding Public Warrants and Private Warrants to purchase shares of Common Stock that were issued under the Warrant Agreement (as defined above)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Under the terms of the Warrant Agreement, we were entitled to redeem all outstanding Warrants for $0.01 per Warrant if the reported closing price of our Common Stock was at least $18.00 per share on each of twenty trading days within a thirty trading day period ending on the third trading day prior to the date on which a notice of redemption is given. This performance threshold was achieved following the market close on August 4, 2023.</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 total of 324,546 Warrants were exercised through September 8, 2023, resulting in proceeds, net of issuance costs, of $3.7 million. All other Warrants were redeemed on September 8, 2023. We paid $0.1 million for the remaining Warrants that were not exercised as of September 8, 2023, which was recorded as a reduction to additional paid-in capital on our condensed consolidated balance sheet.</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The Business Combination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December 5, 2022, we entered into an Agreement and Plan of Merger, by and among Legacy Tigo and Roth IV Merger Sub Inc., a wholly-owned subsidiary of ROCG (“Merger Sub”). On May 23, 2023, upon the terms and subject to the satisfaction or waiver of the conditions described in the Merger Agreement, Merger Sub merged with and into Legacy Tigo.</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Under the terms of the Merger Agreement, immediately prior to the effective time of the Business Combination (the “Effective Time”), Legacy Tigo (i) caused each share of Legacy Tigo preferred stock issued and outstanding to be automatically converted into a number of shares of Legacy Tigo common stock (the “Legacy Tigo common stock”) in accordance with Legacy Tigo’s charter (the “preferred stock conversion”) and (ii) used reasonable best efforts to cause the “cashless” exercise of Legacy Tigo warrants (each, a “Legacy Tigo warrant”), in accordance with their terms, for Legacy Tigo common stock (the “warrant exercise”). As of the closing date of the Business Combination, all holders of Legacy Tigo have exercised such warrants for shares of Legacy Tigo common stock.</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Pursuant to the Merger Agreement, at the Effective Time, each share of Legacy Tigo common stock issued and outstanding immediately prior to the Closing (including shares of Legacy Tigo common stock issued in the preferred stock conversion and warrant exercise prior to the closing but excluding shares owned by Legacy Tigo or any direct or indirect wholly owned subsidiary of Legacy Tigo as treasury stock, shares owned by ROCG, and shares of Legacy Tigo common stock issued and outstanding immediately prior to the Effective Time held by a holder who has not voted in favor of adoption of the Merger Agreement or consented thereto in writing and who is entitled to demand and has properly exercised appraisal rights of such shares in accordance with Section 262 of the Delaware General Corporation Law (as it may be amended from time to time, the “DGCL”) and otherwise complied with all of the provisions of the DGCL relevant to the exercise and perfection of dissenters’ rights) were canceled and converted into the right to receive 0.233335 shares of common stock, par value $0.0001 per share, of our (the “Common Stock”).</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At the Effective Time, each outstanding Legacy Tigo stock option (each, a “Legacy Tigo stock option”), whether vested or unvested, converted into an option to purchase a number of shares of Common Stock equal to the product of (x) the number of shares of Legacy Tigo common stock underlying such Legacy Tigo stock option immediately prior to the Closing and (y) 0.233335, at an exercise price per share equal to (A) the exercise price per share of Legacy Tigo common stock underlying such Legacy Tigo stock option immediately prior to the Closing divided by (B) 0.233335.</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At the Effective Time, after giving effect to the warrant exercise, each outstanding Legacy Tigo warrant to purchase Legacy Tigo common stock, whether or not exercisable, converted into a warrant to purchase a number of shares of Common Stock equal to the product of (x) the number of shares of Legacy Tigo common stock underlying such Legacy Tigo warrant immediately prior to the Closing and (y) 0.233335.</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Upon consummation of the Business Combination, the separate corporate existence of Merger Sub ceased, and Legacy Tigo survived the Business Combination and became a wholly-owned subsidiary of ROCG (also herein after referred to as the “Combined Company”). In connection with the consummation of the Business Combination, the Combined Company was renamed “Tigo Energy, Inc.” Immediately after giving effect to the Business Combination, there were 58,144,543 issued and outstanding shares of New Tigo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Accounting Impact of the Business Combination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Business Combination was accounted for as a reverse recapitalization in accordance with accounting principles generally accepted in the United States of America (“GAAP”). Under the guidance in </w:t>
      </w:r>
      <w:r>
        <w:rPr>
          <w:rFonts w:ascii="Times New Roman" w:hAnsi="Times New Roman"/>
          <w:b w:val="false"/>
          <w:i/>
          <w:color w:val="000000"/>
          <w:sz w:val="20"/>
        </w:rPr>
        <w:t>ASC Topic 805, Business Combinations</w:t>
      </w:r>
      <w:r>
        <w:rPr>
          <w:rFonts w:ascii="Times New Roman" w:hAnsi="Times New Roman"/>
          <w:b w:val="false"/>
          <w:color w:val="000000"/>
          <w:sz w:val="20"/>
        </w:rPr>
        <w:t>, ROCG, which is the legal acquirer, was treated as the “acquired” company for financial reporting purposes and Legacy Tigo was treated as the accounting acquirer. This determination was primarily based on the following: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having a majority of the voting power of the Combined Company;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(ii)</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senior management comprising substantially all of the senior management of the Combined Company;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(iii)</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relative size compared to ROCG; and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(iv)</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the Company's operations comprising the ongoing operation of the post-combination company.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Accordingly, for accounting purposes, the Business Combination was treated as the equivalent of a capital transaction in which we were issuing stock for the net assets of ROCG. The net assets of ROCG were stated at historical cost, with no goodwill or other intangible assets recorded. Operations prior to the Business Combination will be the Company’s.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most significant change in our financial position and results upon consummation of the business combination is the conversion of the convertible preferred stock into common stock and additional paid-in capital (as compared to our consolidated balance sheet as of December 31, 2022).</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Please refer to Note 2 “Summary of Significant Accounting Policies” of the notes to condensed consolidated financial statements included in Part I, Item 1 of this Quarterly Report on Form 10-Q for additional details regarding our significant accounting policies and consideration of recently issued accounting pronouncements.</w:t>
      </w:r>
    </w:p>
    <w:p>
      <w:pPr>
        <w:pStyle w:val="TextBody"/>
        <w:bidi w:val="0"/>
        <w:spacing w:before="360" w:after="283"/>
        <w:jc w:val="both"/>
        <w:rPr>
          <w:rFonts w:ascii="Times New Roman" w:hAnsi="Times New Roman"/>
          <w:sz w:val="20"/>
        </w:rPr>
      </w:pPr>
      <w:r>
        <w:rPr>
          <w:rFonts w:ascii="Times New Roman" w:hAnsi="Times New Roman"/>
          <w:b/>
          <w:color w:val="000000"/>
          <w:sz w:val="20"/>
        </w:rPr>
        <w:t>Public Company Costs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Subsequent to the Business Combination, the Combined Company is an SEC-registered and Nasdaq-listed company. We have hired and expect to hire additional staff and implement new processes and procedures to address public company requirements in anticipation of and following the completion of the Business Combination. We also expect to incur substantial additional expenses for, among other things, directors’ and officers’ liability insurance, director fees, internal control compliance, and additional costs for investor relations, accounting, audit, legal and other functions.</w:t>
      </w:r>
      <w:r>
        <w:rPr>
          <w:rFonts w:ascii="Times New Roman" w:hAnsi="Times New Roman"/>
          <w:color w:val="000000"/>
          <w:sz w:val="20"/>
        </w:rPr>
        <w:t xml:space="preserve"> </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Key Operating and Financial Metrics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following table sets forth these metrics for the periods presented:</w:t>
      </w:r>
      <w:r>
        <w:rPr>
          <w:rFonts w:ascii="Times New Roman" w:hAnsi="Times New Roman"/>
          <w:color w:val="000000"/>
          <w:sz w:val="20"/>
        </w:rPr>
        <w:t xml:space="preserve"> </w:t>
      </w:r>
    </w:p>
    <w:p>
      <w:pPr>
        <w:pStyle w:val="TextBody"/>
        <w:bidi w:val="0"/>
        <w:jc w:val="left"/>
        <w:rPr/>
      </w:pPr>
      <w:r>
        <w:rPr/>
        <w:t> </w:t>
      </w:r>
    </w:p>
    <w:tbl>
      <w:tblPr>
        <w:tblW w:w="8752" w:type="dxa"/>
        <w:jc w:val="left"/>
        <w:tblInd w:w="0" w:type="dxa"/>
        <w:tblLayout w:type="fixed"/>
        <w:tblCellMar>
          <w:top w:w="28" w:type="dxa"/>
          <w:left w:w="28" w:type="dxa"/>
          <w:bottom w:w="28" w:type="dxa"/>
          <w:right w:w="28" w:type="dxa"/>
        </w:tblCellMar>
      </w:tblPr>
      <w:tblGrid>
        <w:gridCol w:w="2596"/>
        <w:gridCol w:w="146"/>
        <w:gridCol w:w="251"/>
        <w:gridCol w:w="878"/>
        <w:gridCol w:w="323"/>
        <w:gridCol w:w="174"/>
        <w:gridCol w:w="251"/>
        <w:gridCol w:w="806"/>
        <w:gridCol w:w="271"/>
        <w:gridCol w:w="146"/>
        <w:gridCol w:w="238"/>
        <w:gridCol w:w="883"/>
        <w:gridCol w:w="306"/>
        <w:gridCol w:w="165"/>
        <w:gridCol w:w="238"/>
        <w:gridCol w:w="764"/>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323"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135,988</w:t>
            </w:r>
          </w:p>
        </w:tc>
        <w:tc>
          <w:tcPr>
            <w:tcW w:w="30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50,382</w:t>
            </w:r>
          </w:p>
        </w:tc>
        <w:tc>
          <w:tcPr>
            <w:tcW w:w="316"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4,158</w:t>
            </w:r>
          </w:p>
        </w:tc>
        <w:tc>
          <w:tcPr>
            <w:tcW w:w="32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48,433</w:t>
            </w:r>
          </w:p>
        </w:tc>
        <w:tc>
          <w:tcPr>
            <w:tcW w:w="30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14,803</w:t>
            </w:r>
          </w:p>
        </w:tc>
        <w:tc>
          <w:tcPr>
            <w:tcW w:w="316"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income (loss)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(11,218</w:t>
            </w:r>
          </w:p>
        </w:tc>
        <w:tc>
          <w:tcPr>
            <w:tcW w:w="3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5,267</w:t>
            </w:r>
          </w:p>
        </w:tc>
        <w:tc>
          <w:tcPr>
            <w:tcW w:w="30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323"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13,790</w:t>
            </w:r>
          </w:p>
        </w:tc>
        <w:tc>
          <w:tcPr>
            <w:tcW w:w="30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40"/>
        <w:jc w:val="left"/>
        <w:rPr/>
      </w:pPr>
      <w:r>
        <w:rPr/>
        <w:t> </w:t>
      </w:r>
    </w:p>
    <w:p>
      <w:pPr>
        <w:pStyle w:val="TextBody"/>
        <w:bidi w:val="0"/>
        <w:jc w:val="both"/>
        <w:rPr>
          <w:rFonts w:ascii="Times New Roman" w:hAnsi="Times New Roman"/>
          <w:sz w:val="20"/>
        </w:rPr>
      </w:pPr>
      <w:r>
        <w:rPr>
          <w:rFonts w:ascii="Times New Roman" w:hAnsi="Times New Roman"/>
          <w:b w:val="false"/>
          <w:i/>
          <w:color w:val="000000"/>
          <w:sz w:val="20"/>
        </w:rPr>
        <w:t>Gross Profit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define gross profit as total revenue, net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that May Influence Future Results of Operations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financial results of operations may not be comparable from period to period due to several factors. Key factors affecting our results of operations are summarized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Demand for Products</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The demand environment for our products in Europe and the United States has experienced a broad-based slowdown, primarily due to high interest rates and changes in net metering policies. This has resulted in elevated inventory with distributors and installers. We expect revenues to be adversely affected for the remainder of 2023 as our customers respond to this slower demand environment.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 xml:space="preserve">Unfavorable Macroeconomic and Market Conditions. </w:t>
      </w:r>
      <w:r>
        <w:rPr>
          <w:rFonts w:ascii="Times New Roman" w:hAnsi="Times New Roman"/>
          <w:b w:val="false"/>
          <w:color w:val="000000"/>
          <w:sz w:val="20"/>
        </w:rPr>
        <w:t>The global macroeconomic and market uncertainty, including higher interest rates and inflation, has caused disruptions in financial markets and may continue to have an adverse effect on the U.S. and world economies. As a result, customers may decide to delay purchasing our products and services or not purchase at all. A tighter credit market for consumer and business spending could, in turn, adversely affect spending levels of installers and end users and lead to increased price competition for our products. 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Managing Supply Chain</w:t>
      </w:r>
      <w:r>
        <w:rPr>
          <w:rFonts w:ascii="Times New Roman" w:hAnsi="Times New Roman"/>
          <w:b w:val="false"/>
          <w:color w:val="000000"/>
          <w:sz w:val="20"/>
        </w:rPr>
        <w:t>. We rely on contract manufacturers and suppliers to produce our components.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and supply changes. A significant portion of our supply chain originates in Thailand and China. In the event we are unable to mitigate the impact of delays and/or price increases in raw materials, electronic components and freight, it could delay the manufacturing and delivery of our products, which would adversely impact our cash flows and results of operations, including revenue and gross margin. In addition, in a slowing economic environment, our inventory levels may continue to increase due to existing purchase commitments and our ability to negotiate volume pricing discounts may be impaired.</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Expansion of U.S. Residential Sales</w:t>
      </w:r>
      <w:r>
        <w:rPr>
          <w:rFonts w:ascii="Times New Roman" w:hAnsi="Times New Roman"/>
          <w:b w:val="false"/>
          <w:color w:val="000000"/>
          <w:sz w:val="20"/>
        </w:rPr>
        <w:t>. Our future revenue growth is, in part, dependent on our ability to expand product offerings and services in the U.S. residential market. In our North American market, revenue is generally generated from our product offerings and services in the commercial and industrial markets. In order to continue growth, we intend to expand our presence in the residential market through offerings with U.S. solar providers. We also expect to continue to evaluate and invest in new market opportunities internationally. We believe that our entry into new markets will continue to facilitate revenue growth and customer diversification.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Expansion of New Products and Services</w:t>
      </w:r>
      <w:r>
        <w:rPr>
          <w:rFonts w:ascii="Times New Roman" w:hAnsi="Times New Roman"/>
          <w:b w:val="false"/>
          <w:color w:val="000000"/>
          <w:sz w:val="20"/>
        </w:rPr>
        <w:t>. We have made substantial investments in research and development and sales and marketing to achieve a leading position in our market and grow revenues. Our revenue is primarily generated from the sales and offerings of our MLPE systems. While we will continue to invest in research and development to expand the capabilities of our existing products and solutions, we intend to continue the development and promotion of our EI Solution. For the nine months ended September 30, 2023, and 2022, we generated approximately $12.1 million and $1.0 million, respectively, in revenue from offerings of our EI Solution.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Adding New Customers and Expansion of Sales with Existing Customers</w:t>
      </w:r>
      <w:r>
        <w:rPr>
          <w:rFonts w:ascii="Times New Roman" w:hAnsi="Times New Roman"/>
          <w:b w:val="false"/>
          <w:color w:val="000000"/>
          <w:sz w:val="20"/>
        </w:rPr>
        <w:t>. We intend to target new customers in the U.S. residential market through offerings with residential solar providers. We primarily acquire new customers through collaboration with our industry partners and distributors. While we expect that a substantial portion of our future revenues in the near-term will be generated from our existing customers, we expect to invest in our sales and marketing to broaden reach with new residential customers in the U.S. and customers in Europe.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9"/>
        <w:gridCol w:w="146"/>
        <w:gridCol w:w="211"/>
        <w:gridCol w:w="676"/>
        <w:gridCol w:w="146"/>
        <w:gridCol w:w="146"/>
        <w:gridCol w:w="211"/>
        <w:gridCol w:w="676"/>
        <w:gridCol w:w="146"/>
        <w:gridCol w:w="146"/>
        <w:gridCol w:w="211"/>
        <w:gridCol w:w="631"/>
        <w:gridCol w:w="166"/>
        <w:gridCol w:w="146"/>
        <w:gridCol w:w="146"/>
        <w:gridCol w:w="376"/>
        <w:gridCol w:w="274"/>
        <w:gridCol w:w="146"/>
        <w:gridCol w:w="211"/>
        <w:gridCol w:w="781"/>
        <w:gridCol w:w="146"/>
        <w:gridCol w:w="146"/>
        <w:gridCol w:w="211"/>
        <w:gridCol w:w="676"/>
        <w:gridCol w:w="146"/>
        <w:gridCol w:w="146"/>
        <w:gridCol w:w="211"/>
        <w:gridCol w:w="676"/>
        <w:gridCol w:w="146"/>
        <w:gridCol w:w="146"/>
        <w:gridCol w:w="146"/>
        <w:gridCol w:w="421"/>
        <w:gridCol w:w="317"/>
      </w:tblGrid>
      <w:tr>
        <w:trPr/>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7" w:type="dxa"/>
            <w:tcBorders/>
            <w:shd w:fill="FFFFFF" w:val="clear"/>
            <w:vAlign w:val="center"/>
          </w:tcPr>
          <w:p>
            <w:pPr>
              <w:pStyle w:val="TableContents"/>
              <w:bidi w:val="0"/>
              <w:spacing w:before="0" w:after="283"/>
              <w:jc w:val="center"/>
              <w:rPr/>
            </w:pPr>
            <w:r>
              <w:rPr/>
              <w:t> </w:t>
            </w:r>
          </w:p>
        </w:tc>
      </w:tr>
      <w:tr>
        <w:trPr/>
        <w:tc>
          <w:tcPr>
            <w:tcW w:w="107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4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Revenue, net decreased for the three months ended September 30, 2023, as compared to the same period in 2022, primarily due to customers’ requests to delay certain purchase order deliveries originally scheduled for fulfillment in the third quarter of 2023 to either the fourth quarter of 2023 or first half of 2024 in response to higher inventory levels in the channel, order cancellations, and a general slowdown in the macroeconomic environment.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Revenue, net increased for the nine months ended September 30, 2023, as compared to the same period in 2022, primarily due to higher sales volumes as a result of increased acceptance of our products in the marketplace in the first half of 2023 and increased marketing activities.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79"/>
        <w:gridCol w:w="146"/>
        <w:gridCol w:w="211"/>
        <w:gridCol w:w="676"/>
        <w:gridCol w:w="146"/>
        <w:gridCol w:w="146"/>
        <w:gridCol w:w="211"/>
        <w:gridCol w:w="676"/>
        <w:gridCol w:w="146"/>
        <w:gridCol w:w="146"/>
        <w:gridCol w:w="211"/>
        <w:gridCol w:w="631"/>
        <w:gridCol w:w="166"/>
        <w:gridCol w:w="146"/>
        <w:gridCol w:w="146"/>
        <w:gridCol w:w="376"/>
        <w:gridCol w:w="274"/>
        <w:gridCol w:w="146"/>
        <w:gridCol w:w="211"/>
        <w:gridCol w:w="781"/>
        <w:gridCol w:w="146"/>
        <w:gridCol w:w="146"/>
        <w:gridCol w:w="211"/>
        <w:gridCol w:w="676"/>
        <w:gridCol w:w="146"/>
        <w:gridCol w:w="146"/>
        <w:gridCol w:w="211"/>
        <w:gridCol w:w="676"/>
        <w:gridCol w:w="146"/>
        <w:gridCol w:w="146"/>
        <w:gridCol w:w="146"/>
        <w:gridCol w:w="421"/>
        <w:gridCol w:w="317"/>
      </w:tblGrid>
      <w:tr>
        <w:trPr/>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7" w:type="dxa"/>
            <w:tcBorders/>
            <w:shd w:fill="FFFFFF" w:val="clear"/>
            <w:vAlign w:val="center"/>
          </w:tcPr>
          <w:p>
            <w:pPr>
              <w:pStyle w:val="TableContents"/>
              <w:bidi w:val="0"/>
              <w:spacing w:before="0" w:after="283"/>
              <w:jc w:val="center"/>
              <w:rPr/>
            </w:pPr>
            <w:r>
              <w:rPr/>
              <w:t> </w:t>
            </w:r>
          </w:p>
        </w:tc>
      </w:tr>
      <w:tr>
        <w:trPr/>
        <w:tc>
          <w:tcPr>
            <w:tcW w:w="107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APAC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07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3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EMEA - Revenue, net for the EMEA region decreased for the three months ended September 30, 2023, as compared to the same period in 2022, primarily due to customer requests to delay purchase order deliveries to the fourth quarter of 2023 or early 2024 in response to higher inventory levels in the channel, order cancellations, and a general slowdown in the macroeconomic environment.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Americas - Revenue, net for the Americas region decreased for the three months ended September 30, 2023, as compared to the same period in 2022, primarily due to a slowdown in growth in the United States residential sector, especially in California, which altered its net metering policy in April 2023.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APAC - Revenue, net for the APAC region increased for the three months ended September 30, 2023, as compared to the same period in 2022, primarily due to increased orders for our MLPE product line.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EMEA - Revenue, net for the EMEA region increased for the nine months ended September 30, 2023, as compared to the same period in 2022, primarily due to an overall increase in demand for cost-effective energy solutions as energy costs across the region have increased.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Americas - Revenue, net for the Americas region increased for the nine months ended September 30, 2023, as compared to the same period in 2022, primarily due to increased orders for our MLPE product line and Energy Intelligence solution.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APAC - Revenue, net for the APAC region increased for the three and nine months ended September 30, 2023, as compared to the same period in 2022, primarily due to increased orders for our MLPE product line.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Revenues and 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146"/>
        <w:gridCol w:w="211"/>
        <w:gridCol w:w="676"/>
        <w:gridCol w:w="146"/>
        <w:gridCol w:w="146"/>
        <w:gridCol w:w="211"/>
        <w:gridCol w:w="676"/>
        <w:gridCol w:w="146"/>
        <w:gridCol w:w="146"/>
        <w:gridCol w:w="211"/>
        <w:gridCol w:w="631"/>
        <w:gridCol w:w="166"/>
        <w:gridCol w:w="146"/>
        <w:gridCol w:w="146"/>
        <w:gridCol w:w="376"/>
        <w:gridCol w:w="278"/>
        <w:gridCol w:w="146"/>
        <w:gridCol w:w="211"/>
        <w:gridCol w:w="676"/>
        <w:gridCol w:w="146"/>
        <w:gridCol w:w="146"/>
        <w:gridCol w:w="211"/>
        <w:gridCol w:w="676"/>
        <w:gridCol w:w="146"/>
        <w:gridCol w:w="146"/>
        <w:gridCol w:w="211"/>
        <w:gridCol w:w="676"/>
        <w:gridCol w:w="146"/>
        <w:gridCol w:w="146"/>
        <w:gridCol w:w="146"/>
        <w:gridCol w:w="421"/>
        <w:gridCol w:w="317"/>
      </w:tblGrid>
      <w:tr>
        <w:trPr/>
        <w:tc>
          <w:tcPr>
            <w:tcW w:w="1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1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7" w:type="dxa"/>
            <w:tcBorders/>
            <w:shd w:fill="FFFFFF" w:val="clear"/>
            <w:vAlign w:val="center"/>
          </w:tcPr>
          <w:p>
            <w:pPr>
              <w:pStyle w:val="TableContents"/>
              <w:bidi w:val="0"/>
              <w:spacing w:before="0" w:after="283"/>
              <w:jc w:val="center"/>
              <w:rPr/>
            </w:pPr>
            <w:r>
              <w:rPr/>
              <w:t> </w:t>
            </w:r>
          </w:p>
        </w:tc>
      </w:tr>
      <w:tr>
        <w:trPr/>
        <w:tc>
          <w:tcPr>
            <w:tcW w:w="118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3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1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3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40"/>
        <w:jc w:val="both"/>
        <w:rPr/>
      </w:pPr>
      <w:r>
        <w:rPr/>
        <w:t> </w:t>
      </w:r>
    </w:p>
    <w:tbl>
      <w:tblPr>
        <w:tblW w:w="7769" w:type="dxa"/>
        <w:jc w:val="left"/>
        <w:tblInd w:w="0" w:type="dxa"/>
        <w:tblLayout w:type="fixed"/>
        <w:tblCellMar>
          <w:top w:w="28" w:type="dxa"/>
          <w:left w:w="28" w:type="dxa"/>
          <w:bottom w:w="28" w:type="dxa"/>
          <w:right w:w="28" w:type="dxa"/>
        </w:tblCellMar>
      </w:tblPr>
      <w:tblGrid>
        <w:gridCol w:w="1186"/>
        <w:gridCol w:w="146"/>
        <w:gridCol w:w="180"/>
        <w:gridCol w:w="390"/>
        <w:gridCol w:w="334"/>
        <w:gridCol w:w="180"/>
        <w:gridCol w:w="180"/>
        <w:gridCol w:w="390"/>
        <w:gridCol w:w="334"/>
        <w:gridCol w:w="180"/>
        <w:gridCol w:w="231"/>
        <w:gridCol w:w="430"/>
        <w:gridCol w:w="331"/>
        <w:gridCol w:w="146"/>
        <w:gridCol w:w="179"/>
        <w:gridCol w:w="387"/>
        <w:gridCol w:w="332"/>
        <w:gridCol w:w="179"/>
        <w:gridCol w:w="179"/>
        <w:gridCol w:w="387"/>
        <w:gridCol w:w="332"/>
        <w:gridCol w:w="179"/>
        <w:gridCol w:w="270"/>
        <w:gridCol w:w="391"/>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9"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 of revenue decreased for the three months ended September 30, 2023, as compared to the same period in 2022, primarily due to a decrease in sales volumes and an increase in inventory reserve.</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Gross margin decreased by 5% for the three months ended September 30, 2023, as compared to the same period in 2022 primarily due to an increase in excess and obsolete expense, which was partially offset by an increase attributable to margin improvement on our products due to cost reduction efforts and lower freight costs.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Cost of revenue increased for the nine months ended September 30, 2023, as compared to the same period in 2022, primarily due to an increase in sales volumes.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Gross margin increased by 6% for the nine months ended September 30, 2023, as compared to the same period in 2022 primarily due to cost reduction efforts on certain products and lower freight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08"/>
        <w:gridCol w:w="146"/>
        <w:gridCol w:w="211"/>
        <w:gridCol w:w="571"/>
        <w:gridCol w:w="271"/>
        <w:gridCol w:w="146"/>
        <w:gridCol w:w="211"/>
        <w:gridCol w:w="571"/>
        <w:gridCol w:w="271"/>
        <w:gridCol w:w="146"/>
        <w:gridCol w:w="211"/>
        <w:gridCol w:w="421"/>
        <w:gridCol w:w="146"/>
        <w:gridCol w:w="146"/>
        <w:gridCol w:w="146"/>
        <w:gridCol w:w="316"/>
        <w:gridCol w:w="271"/>
        <w:gridCol w:w="146"/>
        <w:gridCol w:w="211"/>
        <w:gridCol w:w="571"/>
        <w:gridCol w:w="271"/>
        <w:gridCol w:w="146"/>
        <w:gridCol w:w="211"/>
        <w:gridCol w:w="571"/>
        <w:gridCol w:w="271"/>
        <w:gridCol w:w="146"/>
        <w:gridCol w:w="211"/>
        <w:gridCol w:w="571"/>
        <w:gridCol w:w="146"/>
        <w:gridCol w:w="146"/>
        <w:gridCol w:w="146"/>
        <w:gridCol w:w="316"/>
        <w:gridCol w:w="316"/>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160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0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Percentage of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0" w:after="4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Research and development expense increased for the three months ended September 30, 2023, as compared to the same period in 2022 primarily due to higher personnel costs as a result of increased headcount. The amount of research and development expenses may fluctuate from period to period due to differing levels and stages of development activity.</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Research and development expense increased for the nine months ended September 30, 2023, as compared to the same period in 2022 primarily due to higher personnel costs as a result of increased headcount. The amount of research and development expenses may fluctuate from period to period due to differing levels and stages of development activity.</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and Marketing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8"/>
        <w:gridCol w:w="146"/>
        <w:gridCol w:w="211"/>
        <w:gridCol w:w="571"/>
        <w:gridCol w:w="271"/>
        <w:gridCol w:w="146"/>
        <w:gridCol w:w="211"/>
        <w:gridCol w:w="571"/>
        <w:gridCol w:w="271"/>
        <w:gridCol w:w="146"/>
        <w:gridCol w:w="211"/>
        <w:gridCol w:w="571"/>
        <w:gridCol w:w="146"/>
        <w:gridCol w:w="146"/>
        <w:gridCol w:w="146"/>
        <w:gridCol w:w="316"/>
        <w:gridCol w:w="271"/>
        <w:gridCol w:w="146"/>
        <w:gridCol w:w="211"/>
        <w:gridCol w:w="676"/>
        <w:gridCol w:w="271"/>
        <w:gridCol w:w="146"/>
        <w:gridCol w:w="211"/>
        <w:gridCol w:w="571"/>
        <w:gridCol w:w="271"/>
        <w:gridCol w:w="146"/>
        <w:gridCol w:w="211"/>
        <w:gridCol w:w="571"/>
        <w:gridCol w:w="146"/>
        <w:gridCol w:w="146"/>
        <w:gridCol w:w="146"/>
        <w:gridCol w:w="421"/>
        <w:gridCol w:w="316"/>
      </w:tblGrid>
      <w:tr>
        <w:trPr/>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4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124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15,536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Percentage of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bl>
    <w:p>
      <w:pPr>
        <w:pStyle w:val="TextBody"/>
        <w:bidi w:val="0"/>
        <w:spacing w:before="0" w:after="40"/>
        <w:jc w:val="both"/>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Sales and marketing expense increased for the three months ended September 30, 2023, as compared to the same period in 2022. The increase was primarily due to personnel costs as a result of increased headcount to facilitate our growth, and an increase in stock compensation expense primarily due to the grant of equity awards under our 2023 Equity Incentive Plan to support our increased headcount.</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Sales and marketing expense increased for the nine months ended September 30, 2023, as compared to the same period in 2022. The increase was primarily due to higher personnel costs as a result of increased headcount to facilitate our growth, an increase in stock compensation expense primarily due to the grant of equity awards under our 2023 Equity Incentive Plan to support our increased headcount, and increased travel expense.</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jc w:val="left"/>
        <w:rPr/>
      </w:pPr>
      <w:r>
        <w:rPr/>
        <w:t> </w:t>
      </w:r>
    </w:p>
    <w:tbl>
      <w:tblPr>
        <w:tblW w:w="10353" w:type="dxa"/>
        <w:jc w:val="left"/>
        <w:tblInd w:w="0" w:type="dxa"/>
        <w:tblLayout w:type="fixed"/>
        <w:tblCellMar>
          <w:top w:w="28" w:type="dxa"/>
          <w:left w:w="28" w:type="dxa"/>
          <w:bottom w:w="28" w:type="dxa"/>
          <w:right w:w="28" w:type="dxa"/>
        </w:tblCellMar>
      </w:tblPr>
      <w:tblGrid>
        <w:gridCol w:w="1291"/>
        <w:gridCol w:w="146"/>
        <w:gridCol w:w="211"/>
        <w:gridCol w:w="571"/>
        <w:gridCol w:w="271"/>
        <w:gridCol w:w="146"/>
        <w:gridCol w:w="211"/>
        <w:gridCol w:w="571"/>
        <w:gridCol w:w="271"/>
        <w:gridCol w:w="146"/>
        <w:gridCol w:w="211"/>
        <w:gridCol w:w="571"/>
        <w:gridCol w:w="146"/>
        <w:gridCol w:w="146"/>
        <w:gridCol w:w="146"/>
        <w:gridCol w:w="316"/>
        <w:gridCol w:w="271"/>
        <w:gridCol w:w="146"/>
        <w:gridCol w:w="211"/>
        <w:gridCol w:w="676"/>
        <w:gridCol w:w="271"/>
        <w:gridCol w:w="146"/>
        <w:gridCol w:w="211"/>
        <w:gridCol w:w="571"/>
        <w:gridCol w:w="271"/>
        <w:gridCol w:w="146"/>
        <w:gridCol w:w="211"/>
        <w:gridCol w:w="676"/>
        <w:gridCol w:w="146"/>
        <w:gridCol w:w="146"/>
        <w:gridCol w:w="146"/>
        <w:gridCol w:w="421"/>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12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Percentage of revenue,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bl>
    <w:p>
      <w:pPr>
        <w:pStyle w:val="TextBody"/>
        <w:bidi w:val="0"/>
        <w:spacing w:before="0" w:after="4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General and administrative expense increased for the three months ended September 30, 2023, as compared to the same period in 2022. The increase for the three months ended September 30, 2023, compared to the same period in 2022 was primarily related to an increase in the allowance for credit losses on certain aged receivable balances, an increase in personnel and facility costs as a result of increased headcount to facilitate our growth, and an increase in legal expense.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General and administrative expense increased for the nine months ended September 30, 2023, as compared to the same period in 2022. The increase for the nine months ended September 30, 2023, compared to the same period in 2022 was primarily related to an increase in merger and acquisition related expenses in connection with the Business Combination, increased legal expense, an increase in the allowance for credit losses on certain aged receivable balances, an increase in personnel and facility costs as a result of increased headcount to facilitate our growth, and an increase in insurance related expense.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Expenses, Net</w:t>
      </w:r>
    </w:p>
    <w:p>
      <w:pPr>
        <w:pStyle w:val="TextBody"/>
        <w:bidi w:val="0"/>
        <w:jc w:val="left"/>
        <w:rPr/>
      </w:pPr>
      <w:r>
        <w:rPr/>
        <w:t> </w:t>
      </w:r>
    </w:p>
    <w:tbl>
      <w:tblPr>
        <w:tblW w:w="11008" w:type="dxa"/>
        <w:jc w:val="left"/>
        <w:tblInd w:w="0" w:type="dxa"/>
        <w:tblLayout w:type="fixed"/>
        <w:tblCellMar>
          <w:top w:w="28" w:type="dxa"/>
          <w:left w:w="28" w:type="dxa"/>
          <w:bottom w:w="28" w:type="dxa"/>
          <w:right w:w="28" w:type="dxa"/>
        </w:tblCellMar>
      </w:tblPr>
      <w:tblGrid>
        <w:gridCol w:w="1396"/>
        <w:gridCol w:w="146"/>
        <w:gridCol w:w="211"/>
        <w:gridCol w:w="736"/>
        <w:gridCol w:w="166"/>
        <w:gridCol w:w="146"/>
        <w:gridCol w:w="211"/>
        <w:gridCol w:w="421"/>
        <w:gridCol w:w="166"/>
        <w:gridCol w:w="146"/>
        <w:gridCol w:w="211"/>
        <w:gridCol w:w="736"/>
        <w:gridCol w:w="166"/>
        <w:gridCol w:w="146"/>
        <w:gridCol w:w="146"/>
        <w:gridCol w:w="736"/>
        <w:gridCol w:w="271"/>
        <w:gridCol w:w="146"/>
        <w:gridCol w:w="211"/>
        <w:gridCol w:w="736"/>
        <w:gridCol w:w="166"/>
        <w:gridCol w:w="146"/>
        <w:gridCol w:w="211"/>
        <w:gridCol w:w="571"/>
        <w:gridCol w:w="166"/>
        <w:gridCol w:w="146"/>
        <w:gridCol w:w="211"/>
        <w:gridCol w:w="736"/>
        <w:gridCol w:w="166"/>
        <w:gridCol w:w="146"/>
        <w:gridCol w:w="146"/>
        <w:gridCol w:w="631"/>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16" w:type="dxa"/>
            <w:tcBorders/>
            <w:shd w:fill="FFFFFF" w:val="clear"/>
            <w:vAlign w:val="center"/>
          </w:tcPr>
          <w:p>
            <w:pPr>
              <w:pStyle w:val="TableContents"/>
              <w:bidi w:val="0"/>
              <w:spacing w:before="0" w:after="283"/>
              <w:jc w:val="center"/>
              <w:rPr/>
            </w:pPr>
            <w:r>
              <w:rPr/>
              <w:t> </w:t>
            </w:r>
          </w:p>
        </w:tc>
      </w:tr>
      <w:tr>
        <w:trPr/>
        <w:tc>
          <w:tcPr>
            <w:tcW w:w="13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preferred stock warrant and contingent shares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derivative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(50,498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debt extinguishment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(15,721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0" w:after="4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Three months ended September 30, 2023, and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Change in fair value of preferred stock warrant and contingent shares liability decreased for the three months ended September 30, 2023, as compared to the same period in 2022 primarily due to additional costs related to the fair value of the contingent shares related to the acquisition of Foresight Energy Ltd. (“fSight”) in January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Change in fair value of derivative liability was an incremental decrease for the three months ended September 30, 2023. The Convertible Promissory Note (as defined above) contained conversion options that met the requirements for separate accounting and was accounted for as a convertible note derivative liability. The derivative instrument was recorded at fair value upon recognition on the Merger Date (as defined above)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hAnsi="Times New Roman"/>
          <w:b w:val="false"/>
          <w:i/>
          <w:color w:val="000000"/>
          <w:sz w:val="20"/>
        </w:rPr>
        <w:t>ASC Topic 815, Derivatives and Hedging</w:t>
      </w:r>
      <w:r>
        <w:rPr>
          <w:rFonts w:ascii="Times New Roman" w:hAnsi="Times New Roman"/>
          <w:b w:val="false"/>
          <w:color w:val="000000"/>
          <w:sz w:val="20"/>
        </w:rPr>
        <w:t>. The convertible note derivative liability was remeasured as of immediately prior to the execution of the Convertible Note Amendment. The carrying value of the convertible note derivative liability was reclassified to equity and was recorded into additional paid-in capital on our condensed consolidated balance sheet. See Note 6, “Fair Value of Financial Instruments” and Note 9, “Long-Term Debt,”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Interest expense for the three months ended September 30, 2023, primarily consists of interest expense and the amortization of deferred debt issuance costs incurred on our Convertible Promissory Note. Interest expense for the three months ended September 30, 2022, primarily consists of interest expense primarily related to our Series 2022-1 Notes (as defined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Other income, net increased for the three months ended September 30, 2023, as compared to the same period in 2022, and is attributable to increased interest income earned on higher holdings of cash and cash equivalents and marketable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Nine months ended September 30, 2023, and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 in fair value of preferred stock warrant and contingent shares liability increased for the nine months ended September 30, 2023, as compared to the same period in 2022 primarily due to an increase in the fair value of the Series C convertible preferred stock and the incremental increase contributed from the contingent shares related to the fSight acquisition. The Series C convertible preferred stock was converted to shares of Common Stock on May 23, 2023, as part of the Business Combination. See Note 3, “Merger with Roth CH Acquisition IV Co.,” of the notes to condensed consolidated financial statements included in Part I, Item 1 of this Quarterly Report on Form 10-Q for additional information.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Change in fair value of derivative liability was an incremental decrease for the nine months ended September 30, 2023. The Convertible Promissory Note contained conversion options that met the requirements for separate accounting and is accounted for as a convertible note derivative liability. The derivative instrument was recorded at fair value upon recognition on the Merger Date and was subject to remeasurement at the end of the reporting period. On September 24, 2023, we entered into the Convertible Note Amendment (as defined above) with L1 Energy (as defined above) to modify the conversion terms of the Convertible Promissory Note and, as a result of such amendment, the conversion options no longer meet the requirements to be bifurcated in accordance with </w:t>
      </w:r>
      <w:r>
        <w:rPr>
          <w:rFonts w:ascii="Times New Roman" w:hAnsi="Times New Roman"/>
          <w:b w:val="false"/>
          <w:i/>
          <w:color w:val="000000"/>
          <w:sz w:val="20"/>
        </w:rPr>
        <w:t>ASC Topic 815, Derivatives and Hedging</w:t>
      </w:r>
      <w:r>
        <w:rPr>
          <w:rFonts w:ascii="Times New Roman" w:hAnsi="Times New Roman"/>
          <w:b w:val="false"/>
          <w:color w:val="000000"/>
          <w:sz w:val="20"/>
        </w:rPr>
        <w:t>. The convertible note derivative liability was remeasured immediately prior to the execution of the Convertible Note Amendment. The carrying value of the convertible note derivative liability was reclassified to equity and was recorded into additional paid-in capital on our condensed consolidated balance sheet. See Note 6, “Fair Value of Financial Instruments” and Note 9, “Long-Term Debt,” of the notes to condensed consolidated financial statements included in Part I, Item 1 of this Quarterly Report on Form 10-Q for additional information.</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loss on debt extinguishment for the nine months ended September 30, 2023, is primarily related to the repayment of our Series 2022-1 Notes. The loss on debt extinguishment during the nine months ended September 30, 2022, was related to the repayment of our Senior Bonds.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Interest expense for the nine months ended September 30, 2023, primarily consists of interest expense and the amortization of deferred debt issuance costs incurred on our Convertible Promissory Note. Interest expense for the nine months ended September 30, 2022, primarily consists of interest expense primarily related to our Series 2022-1 Notes.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Other income, net increased for the nine months ended September 30, 2023, as compared to the same period in 2022, and is attributable to increased interest income earned on higher holdings of cash and cash equivalents and marketable securities.</w:t>
      </w:r>
      <w:r>
        <w:rPr>
          <w:rFonts w:ascii="Times New Roman" w:hAnsi="Times New Roman"/>
          <w:color w:val="000000"/>
          <w:sz w:val="20"/>
        </w:rPr>
        <w:t xml:space="preserve"> </w:t>
      </w:r>
    </w:p>
    <w:p>
      <w:pPr>
        <w:pStyle w:val="TextBody"/>
        <w:bidi w:val="0"/>
        <w:spacing w:before="360" w:after="120"/>
        <w:jc w:val="both"/>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Adjusted EBITDA and Adjusted EBITDA Margin on Revenue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use these non-GAAP financial measures, in conjunction with GAAP financial measures, as an integral part of managing our business and to, among other things: (i) monitor and evaluate the performance of our business operations and financial performance; (ii) facilitate internal comparisons of the historical operating performance of our business operations; (iii) facilitate external comparisons of the results of our overall business to the historical operating performance of other companies that may have different capital structures and debt levels; (iv) review and assess the operating performance of our management team; (v) analyze and evaluate financial and strategic planning decisions regarding future operating investments; and (vi) plan for and prepare future annual operating budgets and determine appropriate levels of operating investments.</w:t>
      </w:r>
      <w:r>
        <w:rPr>
          <w:rFonts w:ascii="Times New Roman" w:hAnsi="Times New Roman"/>
          <w:color w:val="000000"/>
          <w:sz w:val="20"/>
        </w:rPr>
        <w:t xml:space="preserve"> </w:t>
      </w:r>
    </w:p>
    <w:p>
      <w:pPr>
        <w:pStyle w:val="TextBody"/>
        <w:bidi w:val="0"/>
        <w:spacing w:before="360" w:after="283"/>
        <w:jc w:val="both"/>
        <w:rPr>
          <w:rFonts w:ascii="Times New Roman" w:hAnsi="Times New Roman"/>
          <w:b w:val="false"/>
          <w:i/>
          <w:color w:val="000000"/>
          <w:sz w:val="20"/>
        </w:rPr>
      </w:pPr>
      <w:r>
        <w:rPr>
          <w:rFonts w:ascii="Times New Roman" w:hAnsi="Times New Roman"/>
          <w:b w:val="false"/>
          <w:i/>
          <w:color w:val="000000"/>
          <w:sz w:val="20"/>
        </w:rPr>
        <w:t>Adjusted EBITDA</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define adjusted EBITDA, a non-GAAP financial measure, as net income (loss) before interest and other expenses, net, income tax expense, depreciation and amortization, as adjusted to exclude stock-based compensation and merger and acquisition expenses (“M&amp;A expenses”). We utilize adjusted EBITDA as an internal performance measure in the management of our operations because we believe the exclusion of these non-cash and non-recurring charges allow for a more relevant comparison of ours results of operations to other companies in our industry. Adjusted EBITDA should not be viewed as a substitute for net income (loss) calculated in accordance with GAAP, and other companies may define Adjusted EBITDA differently.</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following table provides a reconciliation of adjusted EBITDA to net income (loss) for the periods presented:</w:t>
      </w:r>
    </w:p>
    <w:p>
      <w:pPr>
        <w:pStyle w:val="TextBody"/>
        <w:bidi w:val="0"/>
        <w:jc w:val="left"/>
        <w:rPr/>
      </w:pPr>
      <w:r>
        <w:rPr/>
        <w:t> </w:t>
      </w:r>
    </w:p>
    <w:tbl>
      <w:tblPr>
        <w:tblW w:w="9035" w:type="dxa"/>
        <w:jc w:val="left"/>
        <w:tblInd w:w="0" w:type="dxa"/>
        <w:tblLayout w:type="fixed"/>
        <w:tblCellMar>
          <w:top w:w="28" w:type="dxa"/>
          <w:left w:w="28" w:type="dxa"/>
          <w:bottom w:w="28" w:type="dxa"/>
          <w:right w:w="28" w:type="dxa"/>
        </w:tblCellMar>
      </w:tblPr>
      <w:tblGrid>
        <w:gridCol w:w="3011"/>
        <w:gridCol w:w="146"/>
        <w:gridCol w:w="269"/>
        <w:gridCol w:w="940"/>
        <w:gridCol w:w="212"/>
        <w:gridCol w:w="186"/>
        <w:gridCol w:w="269"/>
        <w:gridCol w:w="806"/>
        <w:gridCol w:w="166"/>
        <w:gridCol w:w="146"/>
        <w:gridCol w:w="268"/>
        <w:gridCol w:w="859"/>
        <w:gridCol w:w="211"/>
        <w:gridCol w:w="185"/>
        <w:gridCol w:w="268"/>
        <w:gridCol w:w="802"/>
        <w:gridCol w:w="2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shd w:fill="FFFFFF" w:val="clear"/>
            <w:vAlign w:val="center"/>
          </w:tcPr>
          <w:p>
            <w:pPr>
              <w:pStyle w:val="TableContents"/>
              <w:bidi w:val="0"/>
              <w:spacing w:before="0" w:after="283"/>
              <w:jc w:val="center"/>
              <w:rPr/>
            </w:pPr>
            <w:r>
              <w:rPr/>
              <w:t> </w:t>
            </w:r>
          </w:p>
        </w:tc>
      </w:tr>
      <w:tr>
        <w:trPr/>
        <w:tc>
          <w:tcPr>
            <w:tcW w:w="3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29,056</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13,790</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0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07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other (income) expenses, net</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(51,236</w:t>
            </w:r>
          </w:p>
        </w:tc>
        <w:tc>
          <w:tcPr>
            <w:tcW w:w="2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(8,552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10,962</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212"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820</w:t>
            </w:r>
          </w:p>
        </w:tc>
        <w:tc>
          <w:tcPr>
            <w:tcW w:w="2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1,274</w:t>
            </w:r>
          </w:p>
        </w:tc>
        <w:tc>
          <w:tcPr>
            <w:tcW w:w="212"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2,137</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M&amp;A expenses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 (loss)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Capital Resources, and Going Concern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of September 30, 2023, our principal sources of liquidity were cash and cash equivalents, marketable securities, debt financing, and income from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Historically, we have financed our operations primarily through financing transactions such as the issuance of convertible promissory notes and loans, and sales of equity securities. During the second quarter of 2023, we began experiencing a significant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number of customer requests to delay purchase order deliveries from the third quarter of 2023 to the fourth quarter of 2023 or early 2024, in addition to a smaller number of unanticipated purchase order cancellations and returns. These factors increased our net loss during the third quarter of 2023. We believe these factors were caused by ongoing elevated inventory levels in the supply chain and a general market slowdown affecting our customers in the quarter.</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of September 30, 2023, we had an accumulated deficit of $61.0 million. Management closely monitors expenditures and is focused on obtaining new customers and continuing to develop our products. Cash from operations and our liquidity could also be affected by various risks and uncertainties, including, but not limited to, economic concerns related to interest rates, inflation or the supply chain, the effects of the COVID-19 pandemic, including timing of cash collections from customers and other risks which are detailed in the section entitled “Risk Factors” in Part II, Item 1A to this Quarterly Report on Form 10-Q.</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We follow the provisions of </w:t>
      </w:r>
      <w:r>
        <w:rPr>
          <w:rFonts w:ascii="Times New Roman" w:hAnsi="Times New Roman"/>
          <w:b w:val="false"/>
          <w:i/>
          <w:color w:val="000000"/>
          <w:sz w:val="20"/>
        </w:rPr>
        <w:t>FASB ASC Topic 205-40, Presentation of Financial Statements—Going Concern</w:t>
      </w:r>
      <w:r>
        <w:rPr>
          <w:rFonts w:ascii="Times New Roman" w:hAnsi="Times New Roman"/>
          <w:b w:val="false"/>
          <w:color w:val="000000"/>
          <w:sz w:val="20"/>
        </w:rPr>
        <w:t>, which requires us to assess our ability to continue as a going concern within one year after the date the condensed consolidated financial statements are issued.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believe that with the existing cash, cash equivalents, and marketable securities as of September 30, 2023, and an increasing customer base, as well as proper management of expenditures, we have sufficient resources to sustain operations through November 2024. However, there can be no assurance that we will not require additional financing or that we can maintain or increase our current revenues.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In addition, we expect to incur additional costs as a result of operating as a public company.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following table summarizes our cash flows for the periods presented:</w:t>
      </w:r>
      <w:r>
        <w:rPr>
          <w:rFonts w:ascii="Times New Roman" w:hAnsi="Times New Roman"/>
          <w:color w:val="000000"/>
          <w:sz w:val="20"/>
        </w:rPr>
        <w:t xml:space="preserve"> </w:t>
      </w:r>
    </w:p>
    <w:p>
      <w:pPr>
        <w:pStyle w:val="TextBody"/>
        <w:bidi w:val="0"/>
        <w:jc w:val="left"/>
        <w:rPr/>
      </w:pPr>
      <w:r>
        <w:rPr/>
        <w:t> </w:t>
      </w:r>
    </w:p>
    <w:tbl>
      <w:tblPr>
        <w:tblW w:w="7662" w:type="dxa"/>
        <w:jc w:val="left"/>
        <w:tblInd w:w="0" w:type="dxa"/>
        <w:tblLayout w:type="fixed"/>
        <w:tblCellMar>
          <w:top w:w="28" w:type="dxa"/>
          <w:left w:w="28" w:type="dxa"/>
          <w:bottom w:w="28" w:type="dxa"/>
          <w:right w:w="28" w:type="dxa"/>
        </w:tblCellMar>
      </w:tblPr>
      <w:tblGrid>
        <w:gridCol w:w="4711"/>
        <w:gridCol w:w="146"/>
        <w:gridCol w:w="248"/>
        <w:gridCol w:w="866"/>
        <w:gridCol w:w="195"/>
        <w:gridCol w:w="171"/>
        <w:gridCol w:w="248"/>
        <w:gridCol w:w="866"/>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vAlign w:val="center"/>
          </w:tcPr>
          <w:p>
            <w:pPr>
              <w:pStyle w:val="TableContents"/>
              <w:bidi w:val="0"/>
              <w:spacing w:before="0" w:after="283"/>
              <w:jc w:val="center"/>
              <w:rPr/>
            </w:pPr>
            <w:r>
              <w:rPr/>
              <w:t> </w:t>
            </w:r>
          </w:p>
        </w:tc>
      </w:tr>
      <w:tr>
        <w:trPr/>
        <w:tc>
          <w:tcPr>
            <w:tcW w:w="4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(29,379</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(40,919</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34,821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40"/>
        <w:jc w:val="left"/>
        <w:rPr/>
      </w:pPr>
      <w:r>
        <w:rPr/>
        <w:t> </w:t>
      </w:r>
    </w:p>
    <w:p>
      <w:pPr>
        <w:pStyle w:val="TextBody"/>
        <w:bidi w:val="0"/>
        <w:jc w:val="both"/>
        <w:rPr>
          <w:rFonts w:ascii="Times New Roman" w:hAnsi="Times New Roman"/>
          <w:sz w:val="20"/>
        </w:rPr>
      </w:pPr>
      <w:r>
        <w:rPr>
          <w:rFonts w:ascii="Times New Roman" w:hAnsi="Times New Roman"/>
          <w:b w:val="false"/>
          <w:i/>
          <w:color w:val="000000"/>
          <w:sz w:val="20"/>
        </w:rPr>
        <w:t>Cash Flows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Operating cash flows consists primarily of net income (loss) adjusted for certain non-cash items and changes in operating assets and liabilities. Cash used in operating activities increased by $16.1 million in the nine months ended September 30, 2023, as compared to the same period in 2022, primarily due to higher levels of inventory purchases combined with lower sales volumes in the third quarter of 2023 and an increase in days sales outstanding in accounts receivable.</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Net cash used in investing activities increased by $40.3 million for the nine months ended September 30, 2023, compared to the same period in 2022, primarily due to the purchase of marketable securities and property and equipment. This was partially offset by an increase in cash provided by the proceeds from the sale and maturities of a portion of the marketable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Cash Flows Provided by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provided by financing activities decreased by $15.2 million in the nine months ended September 30, 2023, compared to the same period in 2022. For the nine months ended September 30, 2023, we received proceeds of $50.0 million from the Convertible Promissory Note, proceeds of $3.7 million from the redemption of the common stock warrants, and proceeds of $2.2 million from the Merger (as defined above), which was partially offset by the $20.8 million repayment of the Series 2022-1 Notes.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For the nine months ended September 30, 2022, we received proceeds of $41.0 million from the sale of Series E convertible preferred stock and proceeds of $25.0 million from the Series 2022-1 Notes. This was partially offset by the $10.0 million repayment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of our Senior Bonds (as defined above), $3.5 million of payments due to financing costs, and $2.5 million in repayment of the Series 2022-1 Notes.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contractual obligations primarily consist of our Convertible Promissory Note, obligations under operating leases and inventory component purchases. As of September 30, 2023, there have been no material changes from our disclosure in the Proxy Statement/Prospectus filed with the SEC on April 26, 2023. For more information on our future minimum operating leases, see Note 13, “Leases” and for more information on our Convertible Promissory Notes and other related debt, see Note 9, “Long-Term Debt,” of the notes to condensed consolidated financial statements included in Part I, Item 1 of this Quarterly Report on Form 10-Q.</w:t>
      </w:r>
    </w:p>
    <w:p>
      <w:pPr>
        <w:pStyle w:val="TextBody"/>
        <w:bidi w:val="0"/>
        <w:spacing w:before="360" w:after="283"/>
        <w:jc w:val="both"/>
        <w:rPr>
          <w:rFonts w:ascii="Times New Roman" w:hAnsi="Times New Roman"/>
          <w:b/>
          <w:color w:val="000000"/>
          <w:sz w:val="20"/>
        </w:rPr>
      </w:pPr>
      <w:bookmarkStart w:id="9" w:name="item_3_quantitative_and_qualitative"/>
      <w:bookmarkEnd w:id="9"/>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a “smaller reporting company” as defined by Rule 12b-2 of the Securities Exchange Act of 1934, as amended (the “Exchange Act”), the Company is not required to provide the information required under this item.</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bookmarkStart w:id="10" w:name="item_4_controls_and_procedures"/>
      <w:bookmarkEnd w:id="1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of September 30, 2023, as defined in Rules 13a-15(e) and 15d-15(e) under the Securities Exchange Act of 1934, as amended (the “Exchange Act”).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not effective as of September 30, 2023, based on the material weaknesses identified below.</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Weakness in Internal Control over Financial Reporting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discussed elsewhere in this Quarterly Report on Form 10-Q, the Company completed the Merger on May 23, 2023. Prior to the Merger, Roth CH Acquisition IV Co. disclosed in Item 4. of its Form 10-Q filed on April 12, 2023, a material weakness in internal controls over financial reporting related to the accounting for complex financial instruments. Management has concluded this material weakness has not been remediated as an internal control deficiency was identified relating to the accounting for the conversion feature embedded in the Company’s Convertible Promissory Notes. Notwithstanding this material weakness, we have concluded that our unaudited financial statements included in this Quarterly Report on Form 10-Q are fairly stated in all material respects in accordance with GAAP for each of the periods presented therein.</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This material weakness could result in a misstatement of account balances or disclosures that would result in a material misstatement of our annual or interim consolidated financial statements that may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Remediation and Plan for Remediation of the Material Weakness in Internal Control over Financial Reporting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response, the Company’s management has continued implementation of a plan to remediate this material weakness. These remediation measures are ongoing and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Engaging external advisors with appropriate technical accounting knowledge and experience in the application of US GAAP to assist with the evaluation and documentation of accounting for complex financial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Formalizing risk assessment procedures and the design and implementation of controls related to the accounting for complex financial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Assessing the need to hire additional accounting and finance personnel with requisite US GAAP knowledge and experience to supplement existing accounting and finance capabilities and capacity;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Providing enhanced access to accounting literature and research materials to our accounting and finance personnel to review and evaluate conclusions regarding accounting for complex financial instruments.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material weaknesses will be considered remediated once management completes the design and implementation of the measures described above and the controls operate for a sufficient period of time, and management has concluded, through testing, that these controls are effective. We believe we are making progress toward achieving the effectiveness of our internal controls and disclosure controls; however, we cannot provide any assurance that these remediation efforts will be successful or that our internal control over financial reporting will be effective as a result of these efforts.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the Company's management has concluded that material weaknesses noted in Item 4. Controls and Procedures in the Form 10-Q filed by Roth CH Acquisition IV Co. on April 12, 2023, in relation to the review of the accrued expenses and the review over the cash flow statement have been remediated as of June 30, 2023.</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Other than the changes made to remediate the material weakness described above, and the material weaknesses remediated described above, there were no changes in our internal control over financial reporting identified in connection with the evaluation required by Rules 13a-15(d) and 15d-15(d) of the Exchange Act that occurred during the three months ended September 30,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the Effectiveness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1" w:name="item_1_legal_proceedings"/>
      <w:bookmarkEnd w:id="11"/>
      <w:r>
        <w:rPr>
          <w:rFonts w:ascii="Times New Roman" w:hAnsi="Times New Roman"/>
          <w:b/>
          <w:color w:val="000000"/>
          <w:sz w:val="20"/>
        </w:rPr>
        <w:t>Item 1. Legal Proceedings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pStyle w:val="TextBody"/>
        <w:bidi w:val="0"/>
        <w:spacing w:before="360" w:after="283"/>
        <w:jc w:val="left"/>
        <w:rPr>
          <w:rFonts w:ascii="Times New Roman" w:hAnsi="Times New Roman"/>
          <w:b/>
          <w:color w:val="000000"/>
          <w:sz w:val="20"/>
        </w:rPr>
      </w:pPr>
      <w:bookmarkStart w:id="12" w:name="item_1a_risk_factors"/>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Investing in our securities involves risks.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Quarterly Report on Form 10-Q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our financial statements included herein, as well as the other documents that we file with the Securities and Exchange Commission.</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generating net losses, and if we are unable to achieve adequate revenue growth while our expenses increase, we may not achieve or maintain profitability in the future.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a history of incurring net losses, and we may not achieve or maintain profitability in the future. We experienced net losses of $7.0 million and $4.9 million for the years ended December 31, 2022 and 2021, respectively. As of September 30, 2023, we had an accumulated deficit of $61.0 million. In the third quarter of 2023, we also experienced higher operating losses than in previous quarters, primarily as a result of higher channel inventories, order cancellations and a slowdown in the macroeconomic environment. As a result, we cannot accurately predict when or whether we will reach or maintain profitability. We expect our costs will increase over time and our losses to continue as we expect to continue to invest significant additional funds in expanding our business, sales, and marketing activities, research and development as we continue to develop our products and services, and maintain high levels of customer support, each of which we consider critical to our continued success. We also expect to incur additional general and administrative expenses as a result of our growth and expect our costs to increase to support our operations as a public company.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we may make decisions that would adversely affect our short-term operating results if we believe those decisions will improve the experiences of our customers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rapidly evolving and competitive nature of the solar industry makes it difficult to evaluate our future prospects. Our entry into other adjacent markets is new and highly competitive and it is difficult to evaluate our future in these new markets as well.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 The future energy management services that we intend to offer are new to us and these are highly competitive markets in which we will need to compete. We have encountered and will continue to encounter risks and difficulties frequently experienced by growing companies in rapidly changing industries, including unpredictable and volatile revenues and increased expenses as we continue to grow our business. The viability and demand for our products may be affected by many factors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 competitiveness, reliability and performance of our solar systems compared to conventional and non-solar renewable energy sources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competing new technologies at more competitive prices than those we offer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availability and amount of government subsidies and incentives to support the development and deployment of solar energy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extent to which the electric power industry and broader energy industries are deregulated to permit broader adoption of solar electricity generation;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prices of traditional carbon-based energy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levels of investment by end-users of solar energy products, which tend to decrease when economic growth slows;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emergence, continuance or success of, or increased government support for, other alternative energy generation technologies and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Developments in alternative technologies or improvements in distributed solar energy generation may have a material adverse effect on demand for our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Significant developments in alternative technologies, such as advances in other forms of distributed solar photovoltaic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solar industry has historically been cyclical and experienced periodic downturns, including the current downturn.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future success partly depends on continued demand for solar PV systems in the end-markets we serve, including residential, commercial and utility sectors across the world. The solar industry has historically been cyclical and is currently experiencing a downturn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which has affected the demand for our products. Challenging business conditions, mainly as a result of overproduction, higher interest rates, and reductions in applicable governmental subsidies, have also contributed to demand decreases. Therefore, the solar industry may suffer significant or sustained downturns now or in the future, which has in the past and could in the future adversely affect demand for our solar products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Defects or performance problems in our products or delays, disruptions, or quality control problems in our manufacturing operations could result in loss of customers, reputational damage, and decreased revenue, and we may face warranty, indemnity, and product liability claims arising from defective products. If any energy storage systems procured from original equipment manufacturer (“OEM”) suppliers and provided to our customers contain manufacturing defects, our business and financial results could be adversely affected.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results of operations and prospects. A product recall of a competitor’s product may also result in negative publicity towards the market we operate in and damage our brand.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Furthermore, defective components may give rise to warranty, indemnity, or product liability claims against us that exceed any revenue or profit we receive from the affected products. Our failure to accurately predict future claims could result in unexpected volatility in, and have a material adverse effect on, our financial condition. If one of our products were to cause injury to someone or cause property damage then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Depending on the product, we offer a 5-to-25-year limited warranty for our products covering defects in design, materials, workmanship, and manufacturing of our products under proper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expenses to repair or replace defective products in the future or to compensate customers for defective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has been and could continue to be affected by seasonal trends and construction cycles.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been and could continue to be subject to industry-specific seasonal fluctuations. Historically, the majority of our revenues are from the North American and European regions which experience higher sales of our products in the second and third quarters and have been affected by seasonal customer demand trends, including weather patterns and construction cycles. The first and fourth quarters historically have had softer customer demand in our industry, due to these same factors. In addition, construction levels of new solar PV projects, which create demand for our products, are typically slower in colder and wetter months. In European countries with Feed-in-Tariffs (FiTs), the construction of solar PV systems requiring our products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upon a small number of outside contract manufacturers, and our business and operations could be disrupted if we encounter problems with these contract manufacturers.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heavily rely upon our contract manufacturers to manufacture most of our products. We mainly rely on four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In addition, we will remain heavily dependent on suppliers of the components needed for our manufacturing.</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revenues that our contract manufacturers generate from our orders represent a relatively small percentage of their overall revenues. As a result, fulfilling our orders may not be considered a priority in the event of constrained ability to fulfill all of their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customer obligations in a timely manner, especially in light of restrictions imposed by COVID-19. In addition, the facilities in which our products are manufactured are located outside of the U.S., currently in Thailand and China. The location of these facilities outside of key markets such as the U.S. increases shipping time, thereby causing a long lead time between manufacturing and delivery.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when needed or may not be in a position to satisfy our quality or production requirements on commercially reasonable terms. Any significant 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 Further, the ramp of a new contract manufacturer is time-consuming and draining on the resources of our operations team.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distributors and installers of solar financing to assist in selling our products to customers, and the failure of these providers to perform at the expected level, or at all, could have an adverse effect on our business, financial condition and results of our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During the years ended December 31, 2022, and 2021, our largest customer accounted for approximately 11% and 14%, respectively, of our annual revenue, net for such period. Our customers’ decisions to purchase our products are influenced by a number of factors outside of our control. The agreements we have with some of our largest customers do not have long-term purchase commitments. While we do not believe we are dependent on any one individual customer in the long-term, the loss of, or events affecting, one or more of these customers could have a material adverse effect on our business, financial condition, and 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we do not have exclusive arrangements with our third-party distributors. Many of our distributors also market and sell products from our competitors. These distributors may terminate their relationships with us at any time and with little or no notice. Further, these distributors may fail to devote resources necessary to sell our products at the prices, in the volumes, and within the time frames that we expect, or may focus their marketing and sales efforts on products of our competitors. Termination of agreements with current distributors, failure by these distributors to perform as expected, or failure by us to cultivate new distributor relationships, could hinder our ability to expand our operations and harm our revenue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anticipate a significant portion of our future sales will come from residential solar energy system customers in the U.S. If our expectations do not materialize, our revenue, financial condition and business could be adversely affected.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anticipate a portion of our revenue growth will be driven by residential solar energy system customers in the U.S. If our expectations do not materialize, or if we lose key residential solar energy system customers, or if key residential solar energy system customers reduce or stop placing orders for our high-volume products, our financial results could be adversely affected. Significant reductions in sales to this customer, or any other large, direct customers, or a general decrease in demand for our products within a short period of time could adversely affect our revenue, financial condition, and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loss of, or events affecting, one or more of our major customers could reduce our sales and have an adverse effect on our business, financial condition and 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by providing written notice ahead of an annual renewal.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have had from time to time and could in the future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MLPEs may not achieve broader market acceptance, which would prevent us from increasing our revenue and market share.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we fail to achieve broader market acceptance of our products, there would be an adverse impact on our ability to increase our revenue, and gain market share. Our ability to achieve broader market acceptance for our products will be impacted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produce products that compete favorably against other solutions on the basis of price, quality,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timely introduce and complete new designs and timely qualify and certify our products;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whether installers, system owners and solar financing providers will continue to adopt our systems, which have a relatively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whether installers, system owners and solar financing providers will adopt our storage solution, which is a relatively new technology with a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ability of prospective system owners to obtain long-term financing for solar PV installations based on our product platform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develop products that comply with local standards and regulatory requirements, as well as potential in-country manufacturing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develop and maintain successful relationships with our customers and suppliers.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solutions.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Mergers in the solar industry among our current or potential customers may adversely affect our competitive position.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has been an increase in consolidation activity among distributors, large installers, and other strategic partners in the solar industry. For example, in October 2020, Sunrun, a leading provider of residential solar, battery storage and energy services, acquired Vivint Solar. If this consolidation continues, it will further increase our reliance on a small number of customers for a significant portion of our sales and may negatively impact our competitive position in the solar market.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recent and planned expansion into existing and new geographic markets or new product lines or services could subject us to additional business, financial, and competitive risks.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in the past, and may in the future, evaluate opportunities to expand into new geographic markets and introduce new product offerings and services. We also may from time to time engage in acquisitions of businesses or product lines with the potential to strengthen and expand our market position, our technological capabilities, or provide synergy opportunities. For example, we intend to continue to introduce new products targeted at large commercial and utility-scale installations and to continue to expand into other international markets.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success operating in these new markets will depend on a number of factors, including our ability to develop solutions to address the requirements of residential and utility-scale solar PV markets, timely certification of new products, our ability to manage increased manufacturing capacity and production, and to identify and integrate any acquired businesses.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we expect these new solar PV markets and the additional markets we have entered, or may enter, to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Failure to develop and introduce these new products successfully, to successfully integrate acquired businesses or to otherwise manage the risks and challenges associated with our potential expansion into new product and geographic markets, could adversely affect our revenues.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anticipate a significant increase in revenue from our Energy Intelligence solution (“EI solution”). Revenue from the Tigo EI solution will partially depend on our ability to educate existing and potential customers on the benefits of our EI solution. Should a market fail to develop for our EI solution, our actual operating results may differ materially from the forecasted results.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future success depends, in part, on the commercial acceptance of our EI solution. The market for our EI solution is relatively new and rapidly evolving. If we are unable to educate our existing and potential customers about the advantages of our EI solution over competing products and services, our ability to sell our EI solution will be limited. In addition, the energy storage market is rapidly evolving and, therefore, it is difficult to accurately assess the size of the addressable market and we may have limited insight into trends that may emerge and affect our business, results of operations or financial condition. If the market for our demand response solutions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and EI solution does not continue to develop, or if we do not keep up with market trends, our ability to grow our business could be limited and we may not be able to operate profitably.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in marketing and selling our products depend, in part, upon our ability to continue to work closely with leading solar manufacturers.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continue to work on variants of our integrated solar systems that are compatible with all major module manufacturers. The market success of such integrated solar PV solutions and future product offerings will depend in part on our ability to continue to work closely with major solar module manufacturers to ensure our products remain compatible with their designs and products going forward.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Solar power systems have the capacity to produce high electric voltages. The component parts in such systems may experience a breakdown of continuity or breakdown of insulation, which can generate sustained electrical arcs. Electrical arcs produce a discharge of electric current across a gap in a circuit, which creates a risk of thermal events, damage or injury to installers and other personnel. We have in the past, and may in the future, face product liability lawsuits and adverse publicity as a result of thermal events, which may cause reputational damage, divert the attention of management or adversely affect our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our success and our ability to reach our strategic objectives are highly dependent on the contributions of our key management, technical, engineering and sales personnel. The loss of the services of any of our key employees could disrupt our operations, delay the development and introduction of our hardware and software-enabled services, and negatively impact our business, financial condition and operating results. In particular, we are highly dependent on the services of our Chief Executive Officer and Chairman, as he possesses technical knowledge of our business, operations, and strategy. If we lose his services or if he decides to join a competitor or otherwise compete directly or indirectly with us, our business, operating results and financial condition could be materially harmed. We also depend on the skills and knowledge of our Chief Financial Officer, Vice President of Hardware R&amp;D and Vice President of Software R&amp;D. We cannot assure you that we will be able to successfully attract and retain senior leadership necessary to grow our business. Furthermore, there is increasing competition for talented individuals in our field, and competition for qualified personnel is especially intense in the San Francisco Bay Area, where our principal offices are located.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 increases substantially, this could potentially create substantial personal wealth for our executives and employees and affect our ability to retain our personnel. In addition, any future restructuring plans may adversely impact our ability to attract and retain key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by management to properly manage growth could have a material adverse effect on our business, operating results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has grown rapidly, and if our business develops as currently expected, we anticipate that we will continue to grow rapidly in the near future. Our expected rapid growth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realize the anticipated benefits of past or future acquisitions, including our recent acquisition of Foresight Energy Ltd. (“fSight”), and the integration of fSight or other acquired businesses may disrupt our business and management, which could adversely affect our business, operating results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January 25, 2023, we acquired all the issued and outstanding share capital of fSight, a software company organized under the laws of the state of Israel. We may not realize the anticipated benefits of our acquisition of fSight, or such other acquisitions, and we may encounter substantial difficulties, costs and delays involved in integrating such businesses into our operations, including exposure to unknown liabilities, failure to maximize our financial and strategic position, failure to achieve planned synergies or expected financial results benefits and failure to realize the potential of fSight’s technologies or properly obtain or secure protection of intellectual property rights. Ultimately, there can be no assurance that we will successfully integrate our acquisition of fSight, or any future acquisition and we may not realize the benefits of such acquisitions to the extent anticipated, which could adversely affect our business, operating results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Legal, Compliance and Regulations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reduction, elimination or expiration of government subsidies and economic incentives for on-grid solar electricity applications across various jurisdictions in which we operate could reduce demand for solar PV systems and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a worldwide footprint and have product installations in over 100 countries on all seven continents. We generated 73% and 61% of our revenues from foreign customers during the years ended December 31, 2022, and 2021, respectively. Given our dynamic customer makeup across the world, we and our customers are subject to governmental policies applicable to renewable energy development in numerous jurisdictions.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Federal, state, local and foreign government bodies provide incentives to promote solar electricity in the form of rebates, tax credits or exemptions and other financial incentives. The market for on-grid applications, where solar power is used to supplement a customer’s electricity purchased from the utility network or sold to a utility under tariff, often depends in large part on the availability and size of government and economic incentives. Because our customers’ sales are typically into the on-grid market, the reduction, elimination or expiration of government subsidies and incentives for on-grid solar electricity may negatively affect the desirability of solar electricity and could harm or halt the growth of the solar electricity industry and our business. For instance, the Renewable Energy and Job Creation Act of 2008 provided a 30% federal tax credit for residential and commercial solar installations through December 31, 2019, which was reduced to a tax credit of 26% for any solar energy system that began construction during 2020 through December 31, 2022, and 22% thereafter to December 31, 2023, before being reduced to 10% for commercial installations and 0% for residential installations beginning on January 1, 2024.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On August 16, 2022, President Biden signed into law the Inflation Reduction Act of 2022 (the “IR Act”), which among other things, extended the 30% investment tax credit for installations of solar systems through the end of 2032, reduced to 26% for 2033, 22% for 2034 and 0% thereafter. These tax credits could be reduced or eliminated as part of future U.S. tax legislation, changes or regulatory reform initiatives by the current Congress or the new presidential administration. The reduction in the investment tax credit could reduce the demand for solar energy solutions in the U.S. which would have an adverse impact on our business, financial condition and results of operations. Furthermore, due to the continued economic downturn from COVID-19, many of the institutions utilizing investment tax credit may significantly pull back or no longer have the ability to invest, meaning that financing for solar projects may become seriously diminished.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general subsidies and incentives may expire on a particular date, end when the allocated funding is reduced or terminated due to, inter alia, legal challenges, adoption of new statutes or regulations or the passage of time. These reductions or terminations often occur without warning.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net energy metering tariffs are being evaluated and, in some instances modified, which may have a negative impact on future inverter sales. Any future legislative or regulatory changes in the jurisdictions in which we operate may discourage further growth in the residential solar market.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Certain countries have proposed or enacted taxes levied on renewable energy. These and related developments have significantly impacted the solar industry in Europe and may adversely affect the future demand for the solar energy solutions in Europe.</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several jurisdictions have adopted renewable portfolio standards mandating that a certain portion of electricity delivered by utilities to customers come from a set of eligible renewable energy resources, such as solar, by a certain compliance date. Under some programs, a utility can receive a “credit” for renewable energy produced by a third party by either purchasing the electricity directly from the producer or paying a fee to obtain the right to renewable energy generated but used or sold by the generator. A renewable energy credit allows the utility to add this electricity to its renewable portfolio requirement without actually expending the capital for generating facilities. However, there can be no assurances that such policies will continue. Reduction or elimination of</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renewable portfolio standards or successful efforts to meet current standards could harm or halt the growth of the solar PV industry and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Federal, state, local and foreign tax credits, grants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to net metering policies have reduced, and any future changes may continue to reduce, demand for electricity from solar PV systems, which could harm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business benefits from favorable net metering policies in most U.S. states and some European countries. Net metering allows a solar PV system owner to pay his or her electric utility only for power usage net of production from the solar PV system. System owners receive credit for the energy that the solar installation generates to offset energy usage at times when the solar installation is not generating energy. Under a net metering program, the customer typically pays for the net energy used or receives a credit against future bills if more energy is produced than consumed.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Most U.S. states have adopted some form of net metering. Yet, net metering programs have recently come under regulatory scrutiny in some U.S. states due to allegations that net metering policies inequitably shift costs onto non-solar ratepayers by allowing solar ratepayers to sell electricity at rates that are too high for utilities to recoup their fixed costs. For example, in 2019, Louisiana Public Service Commissions adopted net metering policies aiming at lowering the solar customers’ savings. In addition, policies adopted by the California Public Utilities Commission, which became effective in April 2023, lowered the current net energy metering tariffs and imposed a new grid-connection fee on new rooftop solar users. Such policies have, and may continue to have, impacts on the demand for our solutions in the state of California. We cannot assure you that these programs will not be significantly modified going forward.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the value of the credit that customers receive for net metering is reduced, end-users may be unable to recognize the current level of cost savings associated with net metering. The absence of favorable net metering policies or of net metering entirely, or the imposition of new charges that only or disproportionately affect end-users that use net metering would significantly limit demand for our products and could have a material adverse effect on our business, financial condition, results of operations and future growth.</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electric utility industry regulations, and changes to regulations, may present technical, regulatory, and economic barriers to the purchase and use of solar PV systems that may significantly reduce demand for our products or harm our ability to compete. In addition, determinations of various regulatory bodies regarding lack of compliance with certifications or other regulatory requirements could harm our ability to sell our products in certain countries.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Federal, state, local and foreign government regulations and policies concerning the electric utility industry, and internal policies and regulations promulgated by electric utilities, heavily influence the market for electricity generation products and services. These regulations and policies could deter purchases of solar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solar PV systems sold by our customers and make them less desirable, thereby harming our business, prospects, financial condition and results of operations. In addition, depending on the region, electricity generated by solar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solar PV systems and their component parts to be lower in order to compete with the price of electricity from the electric grid.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solar PV systems sold by our customers and cause a significant reduction in demand for our products and services.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Compliance with various regulatory requirements and standards is a prerequisite for placing our products on the market in most countries in which we do business. We have all such certifications but there are at times, challenges by local administrative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telecommunications, consumer board or other authorities that can place sales bans on products. We maintain our position that all of our current products are tested, approved and compliant with relevant regulations, any adverse ruling can have a negative impact on our business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management has limited experience in operating a public company. The requirements of being a public company may strain our resources and divert management’s attention, and the increases in legal, accounting and compliance expenses that will result from being a public company may be greater than we anticipate.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management team, including our executive officers, has limited experience in the management of a publicly traded company. Our management team may not successfully or effectively manage the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Company. We may not have adequate personnel with the appropriate level of knowledge, experience and training in the accounting policies, practices or internal control over financial reporting required of public companies in the U.S. The implementation of the standards and controls necessary for us to achieve and maintain the level of accounting standards required of a public company in the U.S. may require costs greater than expected. It is likely that we will be required to expand our employee base and hire additional employees to support our operations as a public company which will increase our operating costs in future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installation and operation of our energy storage systems are subject to environmental laws and regulations in various jurisdictions, and there is uncertainty with respect to the interpretation of certain environmental laws and regulations to our energy storage systems, especially as these regulations evolve over time.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subject to national, state and local environmental laws and regulations, as well as environmental laws in those foreign jurisdictions in which we operate. Environmental laws and regulations can be complex and may change often. These laws can give rise to liability for administrative oversight costs, cleanup costs, property damage, bodily injury, fines and penalties. We are committed to compliance with applicable environmental laws and regulations, including health and safety standards, and we continually review the operation of our energy storage systems for health, safety and compliance. Our energy storage systems, like other battery technology-based products of which we are aware, produce small amounts of hazardous wastes and air pollutants, and we seek to ensure that they are handled in accordance with applicable regulatory standards.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Maintaining compliance with laws and regulations can be challenging given the changing patchwork of environmental laws and regulations that prevail at the U.S. federal, state, regional and local level and in foreign countries in which we operate. Most existing environmental laws and regulations preceded the introduction of battery technology and were adopted to apply to technologies existing at the time, namely large, coal, oil or gas-fired power plants. Currently, there is generally little guidance from these agencies on how certain environmental laws and regulations may, or may not, be applied to our technology.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many instances, our technology is moving faster than the development of applicable regulatory frameworks. It is possible that regulators could delay or prevent us from conducting our business in some way pending agreement on, and compliance with, shifting regulatory requirements. Such actions could delay the sale to and installation by customers of energy storage systems, result in fines, require their modification or replacement, or trigger claims of performance warranties and defaults under customer contracts that could require us to refund hardware or service contract payments, any of which could adversely affect our business, financial performance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corporate social responsibility.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facing increasing scrutiny related to our environmental, social and governance (“ESG”) practices and requested disclosures by institutional and individual investors who are increasingly using ESG screening criteria in making investment decisions. Our disclosures on these matters or a failure to satisfy evolving stakeholder expectations for ESG practices and reporting may potentially harm our reputation and impact relationships with investors. Certain market participants including major institutional investors use third-party benchmarks or scores to measure our ESG practices in making investment decisions. Furthermore, some of our customers and suppliers evaluate our ESG practices or request that we adopt certain ESG policies as a condition of awarding contracts. In addition, our failure or perceived failure to pursue or fulfill our goals, targets and objectives or to satisfy various reporting standards within the timelines we announce, or at all, could expose us to government enforced actions and/or private litigation. As ESG best practices, reporting standards and disclosure requirements continue to develop, we may incur increasing costs related to ESG monitoring and reporting.</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significant international operations subject us to additional risks that could adversely affect our business, results of operations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significant international operations, and we are continuing to expand our international operations as part of our growth strategy. Our current international operations and our plans to expand our international operations have placed, and will continue to place, a strain on our employees, management systems and other resources.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international operations may fail to succeed due to risks inherent in operating businesses internationally,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lack of familiarity with commercial and social norms and customs in countries which may adversely affect our ability to recruit, retain and manage employees in these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difficulties and costs associated with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potential diversion of management’s attention to oversee and direct operations that are geographically distant from our U.S.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multiple, conflicting and changing governmental laws and regulations, including employment, tax, privacy and data protection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legal systems in which our ability to enforce and protect our rights may be different or less effective than in the United States and in which the ultimate result of dispute resolution is more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higher employee costs and difficulty in terminating non-performing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differences in workplace cultures;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unexpected changes in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tariffs, export controls and other non-tariff barriers such as quotas and local content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 limited protection for intellectual property rights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adverse tax consequences, including as a result of transfer pricing adjustments involving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fluctuations in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anti-bribery compliance by us or our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restrictions on the transfer of 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global epidemics, pandemics, or contagious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new and different sources of competition.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failure to manage any of these risks successfully could harm our existing and future international operations and seriously impair our overall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recent years, China and the U.S. have each imposed tariffs, and there remains a potential for further trade barriers. These barriers may escalate into a trade war between China and the U.S. Tariffs could potentially impact our hardware component prices and impact any plans to sell products in China and other international markets.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Current or future litigation or administrative proceedings could have a material adverse effect on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have been and continue to be involved in legal proceedings, administrative proceedings, claims and other litigation that arise in the ordinary course of business. In addition, since our energy storage system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Unfavorable outcomes or developments relating to proceedings to which we are a party or transactions involving our products, such as judgments for monetary damages, injunctions, or denial or revocation of permits, could have a material adverse effect on our business, financial condition, and results of operations. Any inability to enforce our patents against our competitors or any finding that our patents are invalid, including in our current litigation or administrative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proceedings, could have a materially adverse effect on our business, financial condition, or results of operations. In addition, settlement of claims could adversely affect our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and foreign tax laws could have a material adverse effect on our business, cash flow, results of operations or financial conditions.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In addition, on August 16, 2022, the IR Act,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exact impact of the Tax Act, the CARES Act and the IR Act for future years is difficult to quantify, but these changes could materially affect our effective tax rate in future periods, in addition to any changes made by new tax legislation.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Organization for Economic Cooperation and Development has been working on a Base Erosion and Profit Shifting Project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Opportunity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for our products is highly competitive and we expect to face increased competition as new and existing competitors introduce power optimizers, inverters, solar PV system monitoring and other smart energy products, which could negatively affect our results of operations and market share.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market for solar PV solutions is highly competitive. We principally compete with traditional inverter manufacturers as well as microinverter manufacturers. Currently, our system competes with products from traditional inverter manufacturers, and microinverter manufacturers. Over the past few years, several new entrants to the inverter and MLPE market, including low-cost Asian manufacturers, have announced plans to ship or have already shipped products in markets in which we sell our products, including, with respect to sales in Australia and in Europe. We expect competition to intensify as new and existing competitors enter the market. In addition, there are several new entrants, including ourselves, that are proposing or have proposed solutions to the rapid shutdown functionality which has become a regulatory requirement for PV rooftop solar systems in the United States. Our competitors may offer a more a price competitive and technologically attractive solution to the residential solar PV market, which could make it more difficult for us to maintain market share.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Several of our existing and potential competitors have the financial resources to offer competitive products at aggressive or below-market pricing levels, which could cause us to lose sales or market share or require us to lower prices for our products in order to compete effectively. If we have to reduce our prices by more than we anticipated, or if we are unable to offset any future reductions in our average selling prices by increasing our sales volume, reducing our costs and expenses or introducing new products, our financial condition and results of operations would suffer.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competitors may be able to develop new products more quickly than us, may partner with other competitors to provide combined technologies and competing solutions and may be able to develop products that are more reliable or that provide more functionality than ours.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drop in the retail price of electricity derived from the utility grid or from alternative energy sources may harm our business, financial condition, results of operations,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Decreases in the retail prices of electricity from the utility grid, or other renewable energy resources, would make the purchase of solar PV systems less economically attractive and would likely lower sales of our products. The price of electricity derived from the utility grid could decrease as a result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construction of a significant number of new power generation plants, including plants utilizing natural gas, nuclear, coal, renewable energy or other generation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relief of transmission constraints that enable local centers to generate energy less expensively;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reductions in the price of natural gas, or alternative energy resources other than solar;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utility rate adjustment and customer class cost reallocation;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energy conservation technologies and public initiatives to reduce electricity consumption;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 of smart-grid technologies that lower the peak energy requirements of a utility generation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 of new or lower-cost energy storage technologies that have the ability to reduce a customer’s average cost of electricity by shifting load to off-peak times;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development of new energy generation technologies that provide less expensive energy.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Moreover, technological developments in the solar components industry could allow our competitors and their customers to offer electricity at costs lower than those that can be offered by us and our customers, which could result in reduced demand for our products. If the cost of electricity generated by solar PV installations incorporating our systems is high relative to the cost of electricity from other sources, our business, financial condition and results of operations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 increase in interest rates or tightening of the supply of capital in the global financial markets could make it difficult for end-users to finance the cost of a solar PV system and could reduce the demand for smart energy products and thus demand for our products.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Many end-users depend on financing to fund the initial capital expenditure required to develop, build or purchase a solar PV system. As a result, an increase in interest rates or a reduction in the supply of project debt financing or tax equity investments, could reduce the number of solar projects that receive financing or otherwise make it difficult for our customers or the end-users to secure the financing necessary to develop, build, purchase or install a solar PV system on favorable terms, or at all, and thus lower demand for our products which could limit our growth or reduce our net sales. In addition, we believe that a significant percentage of end-users install solar PV systems as an investment, funding the initial capital expenditure through financing. An increase in interest rates could lower such end-users’ return on investment on a solar PV system, increase equity return requirements or make alternative investments more attractive relative to solar PV systems, and, in each case, could cause such end-users to seek alternative investments. Furthermore, the continuous effects of COVID-19 on the economy may influence the willingness of end-users to invest in solar PV systems to our detriment, both due to end-users’ economic uncertainty as well as the market’s unwillingness to extend favorable financial terms to the end-users.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limited operating history at current scale and our nascent industry make evaluating our business and future prospects difficult.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a limited history operating our business at its current scale, and therefore a limited history upon which you can base an investment decision. There is rising demand for clean electric power solutions that can provide electric power with lower carbon emissions with high availability. One such solution is distributed, renewable energy generation which is supplementing and replacing conventional generation sources, given its increasingly compelling economics. Among other renewable energy market trends, we expect our business results to be driven by declines in the cost of generation of renewable power (as evidenced by current solar and wind generation deployments), decreases in the cost of manufacturing battery packs and a rapidly growing energy storage market driven by increasing demand from commercial and industrial customers, utilities and grid operators. However, predicting our future revenue and appropriately budgeting for our expenses is difficult, and we have limited insight into trends that may emerge and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renewable energy technologies are not suitable for widespread adoption or sufficient demand for our hardware and software-enabled services does not develop or takes longer to develop than we anticipate, our sales and revenue may decline.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sufficiently, we would be unable to achieve sales and market share.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and the availability or effectiveness of government subsidies and incentives. You should consider our prospects in light of the risks and uncertainties emerging companies encounter when introducing new products and services into a nascent industry</w:t>
      </w:r>
      <w:r>
        <w:rPr>
          <w:rFonts w:ascii="Times New Roman" w:hAnsi="Times New Roman"/>
          <w:b w:val="false"/>
          <w:i/>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Events that negatively impact the growth of renewable energy will have a negative impact on our business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growth and profitability of our business is dependent upon the future growth of renewable energy, such as solar. The solar industry is an evolving industry that has experienced substantial changes in recent years, and we cannot be certain that consumers, businesses, or utilities will adopt solar PV systems as an alternative energy source at levels sufficient to grow our business. If demand for solar energy solutions fails to continue to develop sufficiently, demand for our products will decrease, resulting in an adverse impact on our ability to increase our revenue and grow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growth of renewable energy, including the number of renewable energy projects is dependent upon a number of factors, including governmental policies, including incentives that encourage the building of renewable energy projects, and the cost of alternative energy sources, including fossil fuels and new technologies. Any events or change in the regulatory framework or electricity energy market that negatively impact the growth and development of renewable energy, particularly wind and solar energy, will have a negative impact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failure of battery storage cost to continue to decline would have a negative impact on our business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growth and profitability of our business is dependent upon the continued decline in the cost of battery storage. Over the last decade, the cost of battery storage systems, particularly lithium-ion based battery storage systems, has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systems of our OEM suppliers. If for whatever reason, our OEM suppliers are unable to continue to reduce the price of their battery storage systems, our business and financial condition will be negatively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the estimates and assumptions we use to determine the size of our total addressable market are inaccurate, our future growth rate may be affected and the potential growth of our business may be limited.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Market estimates and growth forecasts are subject to significant uncertainty and are based on assumptions and estimates that may prove to be inaccurate. Even if the market in which we compete meets our size estimates and forecasted growth, our business could fail to grow at similar rates, if at all. The assumptions relating to our market opportunity include, but are not limited to, declines in lithium-ion battery costs and in the cost of renewable generation, growing demand for renewable energy and increased complexity of the electrical grid. Our market opportunity is also based on the assumption that our existing and future offerings will be more attractive to our customers and potential customers than competing products and services. If these assumptions prove inaccurate, our business, financial condition and results of operations could be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Operating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operating results may fluctuate significantly as a result of a variety of factors, many of which are outside of our control.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subject to, among other things, the following factors that may negatively affect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seasonal and other fluctuations in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timing, volume and product mix of sales of our products, which may have different average selling prices or profit margins;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our pricing and sales policies or the pricing and sales policies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impacts and the evolving effects of the ongoing COVID-19 pandemic on our business, sales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design, manufacture and deliver products to our customers in a timely and cost-effective manner and that meet customer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manage our relationships with our contract manufacturers, customers and suppliers;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quality control or yield problems in our manufacturing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anticipation, announcement or introductions of new or enhanced products by our competitors and ourselves;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reductions in the retail price of electricity;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laws, regulations and policies applicable to our business and products, particularly those relating to government incentives for solar energy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tariffs on the solar industry in general and our products in particular;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unanticipated increases in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amount and timing of operating costs and capital expenditures related to the maintenance and expansion of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of government-sponsored programs on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exposure to the credit risks of our customers, particularly in light of the fact that some of our customers are relatively new entrants to the solar market without long operating or credit histories and impacts of the COVID-19 pandemic they may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estimate future warranty obligations due to product failure rates, claim rates or replacement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forecast our customer demand and manufacturing requirements, and manage our inventory;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predict our revenue and plan our expenses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fluctuations in foreign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announcement of acquisitions or dispositions of our assets or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our management;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economic conditions and changes in such conditions specific to our target markets.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above factors are difficult to forecast, and these, as well as other factors, could materially and adversely affect our operating results. Any failure to adjust spending quickly enough to compensate for a revenue shortfall could magnify the adverse impact of this revenue shortfall on our results of operations. There can be no assurance that we will be able to successfully address these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exposed to general economic conditions and the fluctuations of interest and inflation rates may have an adverse effect on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are seeing an increase in overall operating and other costs as the result of higher inflation rates, in particular in the United States. Over the 2022 fiscal year, our freight costs increased, before settling at stable prices by December 31, 2022. While we do not believe inflationary pressures have caused a material impact on our business to date, there can be no guarantee that inflation will not cause our operations to suffer in the future. If high inflation rates continue, or if the global or U.S. economies experience a recession or economic slowdown, consumers may not be able to purchase our products as usual, especially where these factors have a direct impact on the consumers. As a consequence, our earnings may be adversely affected. High interest rates in Europe, the U.S., or elsewhere could adversely affect our costs and earnings due to the impact those changes have on our variable-rate debt instruments.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Furthermore, we could be adversely affected by negative economic conditions prevalent in the U.S. or other countries (including economic volatility as a result of the COVID-19 pandemic), even when economic conditions in such countries may differ significantly from economic conditions in Europe or elsewhere, as investors’ reactions to developments in any of these other countries may have an adverse effect on our securities. Consequently, the market value of our securities may be adversely affected by events taking place outside of Europe or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 in our global supply chain and rising prices of oil and raw materials as a result of the conflict between Russia and Ukraine may negatively impact our businesses.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Russian invasion of Ukraine beginning in late February 2022, and the recent recognition by Russia of the independence of the self-proclaimed republics of Donetsk and Luhansk, in the Donbas region of Ukraine, may significantly amplify already existing disruptions to our supply-chain and logistics. Specifically, the conflict may disrupt the transit of goods by train from China to Europe, result in an increase in prices of certain raw materials sourced in Russia such as nickel and aluminum that are used in the manufacture of products relevant to the solar industry as well as increase oil prices that will in turn cause overall shipping costs to rise. In addition, the governments of the United States, the European Union, Japan and other jurisdictions have recently announced the imposition of sanctions on certain industry sectors and parties in Russia and the regions of Donetsk and Luhansk, as well as enhanced export controls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certain products and industries. These and any additional sanctions, as well as any counter responses by the governments of Russia or other jurisdictions, could adversely affect the global financial markets generally and levels of economic activity as well as increase financial markets volatility. Our compliance with these measures, and any additional measures or sanctions, as well as the resulting rise in prices of certain raw materials sourced in Russia and the prices of oil may disrupt our business and operations, and/or impact the pricing of our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ocean transportation to deliver our products in a timely and cost-efficient manner. If we are unable to use ocean transportation to deliver our products, our business and financial condition could be materially and adversely impacted.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rely on ocean transportation for the delivery of most of our products to our customers, and when unavailable, incompatible with customer delivery time requirements, or when we are unable to accommodate accelerated delivery times due to growing customer volume demands,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as a result of the COVID-19 or other epidemics, and other factors not within our control. If we are unable to use ocean transportation and are required to substitute more expensive air transportation, our financial condition and results of operations could be materially and adversely impacted.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year ended December 31, 2022, we experienced and expect to continue to experience an increase in the cost of goods sold due to an increase in shipping rates that resulted from a reduction in ocean freight capacity, the accumulation of containers in the U.S and Europe that were not returned to Asia and the reduction in the availability of air freight that increased the demand for ocean freight. We also experienced and expect to continue to experience disruptions to our logistics supply chain caused by constraints in the global transportation system including limited availability of local ground transportation coupled with congestion in ports and borders.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estimates of useful life for our energy storage systems and related hardware and software-enabled services are inaccurate or if our OEM suppliers do not meet service and performance warranties and guarantees, our business and financial results could be adversely affected.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sell hardware and software-enabled services to our customers. Our software-enabled services are essential to the operation of these hardware products. As a result, in connection with the sales of energy storage hardware, we enter into recurring long-term services agreements with customers. Our pricing of services contracts is based upon the value we expect to deliver to our customers, including considerations such as the useful life of the energy storage system and prevailing electricity prices. We also provide certain warranties and guarantees covering product specification and drawings, as well as defects in design, materials, workmanship, and manufacturing.</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the occurrence of any defects, errors, disruptions in service, or other performance problems, interruptions, or delays with our energy storage and management systems, whether in connection with day-to-day operations or otherwise,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loss of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loss or delayed market acceptance and sales of our hardware and software-enabled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in payment to us by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injury to our reputation and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legal claims, including warranty and service level agreement claims, against us;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diversion of our resources, including through increased service and warranty expenses or financial concessions, and increased insurance costs.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costs incurred in correcting any material defects or errors in our hardware and software or other performance problems may be substantial and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high-quality technical support services may adversely affect our relationships with our customers and adversely affect our financial results.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customers depend on our support organization to resolve any technical issues relating to our hardware and software-enabled services. In addition, our sales process is highly dependent on the quality of our hardware and software-enabled services, on our business reputation and on strong recommendations from our existing customers. Any failure to maintain high-quality and highly-responsive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technical support, or a market perception that we do not maintain high-quality and highly-responsive support, could adversely affect our reputation, our ability to sell our products to existing and prospective customers, and our business, financial condition and 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offer technical support services with our hardware and software-enabled services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products involve a lengthy sales cycle, and if we fail to close sales on a regular and timely basis it could adversely affect our business, financial condition and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sales cycle is typically six to twelve months for our hardware and software-enabled products, but can vary considerably. To make a sale, we must typically provide a significant level of education to prospective customers regarding the use and benefits of our hardware and software-enabled products. The period between initial discussions with a potential customer and the sale of even one of our various products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cycle is subject to a number of significant risks over which we have little or no control. Because of both the long sales and installation cycles, we may expend significant resources without having certainty of generating a sale.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These lengthy sales and installation cycles increase the risk that our customers fail to satisfy their payment obligations or cancel orders before the completion of the transaction or delay the planned date for installation. Cancellation rates may be impacted by factors outside of our control including an inability to install an energy storage system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our business, financial condition and results of operations could be adversely affected.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Additionally, we have ongoing arrangements with our customers and target customers. Some of these arrangements are evidenced by contracts or long-term contract partnership arrangements. If these arrangements are terminated or if we are unable to continue to fulfill the obligations under such contracts or arrangements,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subject to risks associated with construction, utility interconnection, cost overruns and delays, including those related to obtaining government permits and other contingencies that may arise in the course of completing installations.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installation and operation of our energy storage systems at a particular site is generally subject to oversight and regulation in accordance with national, state and local laws and ordinances relating to building codes, safety, environmental protection and related matters, and typically requires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energy storage system installations, to design our energy storage systems to comply with these varying standards, and for our customers to obtain all applicable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energy storage systems and could therefore adversely affect the timing of the recognition of revenue related to hardware acceptance by our customer, which could adversely affect our operating results in a particular period.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the successful installation of our energy storage systems is dependent upon the availability of and timely connection to the local electric grid. We may be unable to obtain the required consent and authorization of local utilities to ensure successful interconnection to energy grids to enable the successful discharge of renewable energy to customers.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threat of global economic, capital markets and credit disruptions, including sovereign debt issues, pose risks to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threat of global economic, capital markets and credit disruptions pose risks to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Fluctuations in currency exchange rates may negatively impact our financial condition and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our revenues are generated in U.S. dollar, a portion of our operating expenses are accrued in New Israeli Shekels (primarily related to payroll), the Euro and, to a lesser extent, the Yuan. Our profitability is affected by movements of the U.S. dollar against the Euro, and, to a lesser extent, the New Israeli Shekel, Yuan and other currencies in which we generate revenues, incur expenses, and maintain cash balances. 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long-term fluctuations in relative currency values, in particular a significant change in the relative values of the Euro and, New Israeli Shekel, Yuan and other currencies, against the U.S. dollar could have an adverse effect on our profitability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ongoing COVID-19 pandemic, and global measures taken in response thereto have adversely impacted, and may continue to adversely impact, our operations and financial results.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COVID-19 pandemic has had, and may continue to have, a material adverse impact on our supply chain, operations and customer demand. As a result of the COVID-19 pandemic, governmental authorities worldwide have imposed mandatory closures, stay-at-home orders, and social distancing protocols that significantly limit the movement of people, goods and services or otherwise restrict normal business operations or consumption patterns. Our compliance with these measures has disrupted, and depending on the duration of such measures may continue to disrupt, our business and operations, as well as that of our key customers and suppliers for an indefinite period of time. Additionally, to support the health and well-being of our employees, our work force has had to spend a significant amount of time working remotely which has impacted our day-to-day operations, our ability to meet customers and create future sales and business opportunities. The COVID-19 pandemic has resulted in slower growth and demand for our products and may continue to impact our revenues in the following quarters mainly contingent on the duration of the global economic downturn. In addition, since the outbreak and the restrictions on travel, our employees and management have been unable to travel to customers, manufacturing facilities and to suppliers. Our marketing activities, exhibitions and shows have also been cancelled or postponed, or have been held virtually.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full extent the effects COVID-19 will have on our business depend on numerous evolving factors that we may not be able to currently accurately predict, including: the duration and scope of the pandemic; governmental, business and individuals’ actions that have been and continue to be taken in response to the pandemic; the effect on our customers and customer demand for our products, disruptions or restrictions on our employees’ ability to work and travel, availability and long-term effectiveness of COVID-19 vaccination, especially in light of its recent mutation which has made the virus exponentially more contagious.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More generally, the COVID-19 pandemic raises the possibility of an extended global economic downturn and has caused volatility in financial markets, which may continue to adversely affect demand for our products and could adversely affect our results and financial condition in subsequent quarters. For example, some of our customers could potentially experience financial difficulties, which in turn could make it difficult for us to collect receivables as well as cause a decrease in the demand for our products which could negatively affect our revenues. Additionally, some of our suppliers may experience delivery delays or financial difficulties which could result in supply constraints and increased costs or delays to our productions.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unprecedented and continuously evolving nature of the COVID-19, other pandemics or epidemics, could also have the effect of amplifying many of the other risks described in this Quarterly Report on Form 10-Q.</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Third-Party Partner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sole-source and limited-source suppliers for key components, raw materials, and products. If we are unable to source these components, raw materials, and products on a timely basis or at acceptable prices, we will not be able to deliver our products to our customers and production time and production costs could increase, which may adversely affect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depend on limited-source suppliers for certain key components of our products, such as our lithium-ion batteries, inverters, Auto Transfer Switches, and smart meters, as well as sole-source suppliers for other components, such as CPUs, Wi-Fi chips, FPGA chips, potting, and plastics. Any of the sole-source and limited-source suppliers upon whom we rely could experience quality and reliability issues, stop producing our components, cease operations, or be acquired by, or enter into exclusive arrangements with, our competitors.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While our supply agreements have automatic renewal provisions, some allow for termination upon advanced written notice by our manufacturers. Our supply agreements require us to place individual purchase orders, which provide flexibility in regards to product quantities and pricing. Each purchase order requires us to forecast our projected demand for products and competitive pricing. Termination of any supply agreement, incorrectly projecting our demand or pricing of materials, or our inability to negotiate and execute successive purchase orders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supply chain is reliant upon manufacturers in Thailand and China. Changes in the economic, political or social conditions, government policies or regulatory developments in those countries could have a material adverse effect on our business and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All of our manufacturers are headquartered and have manufacturing facilities in Thailand and China. Accordingly, our supply chain, financial condition and results of operations may be influenced to a significant degree by political, economic and social conditions in those countries. The Asian economy differs from most developed markets in many respects, including the level of government involvement, level of development, growth rate, control of foreign exchange, government policy on public order and allocation of resources. In some of the Asian markets, governments continue to play a significant role in regulating industry development by imposing industrial policies. Moreover, some Asian markets have experienced, and may in the future experience, political and economic instabilities, which include but are not limited to strikes, demonstrations, protests, marches, coups d’état, guerilla activity, risks of war, terrorism, nationalism or other types of civil disorder, and regulatory changes such as nullification of contracts. Although we have not experienced any material disruptions related to our manufacturers to date, there can be no assurance that we will not experience such interruptions in the future.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Any adverse changes in economic conditions in Asia, or in the policies of the governments or of the laws and regulations in each respective jurisdiction of our manufacturers could have a material adverse effect on our business and operating results, lead to disruptions in our supply chain and adversely affect our competitive position.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services rely on interconnections to distribution and transmission facilities that are owned and operated by third parties, and as a result, are exposed to interconnection and transmission facility development and curtailment risks.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hardware and software-enabled services are interconnected with electric distribution and transmission facilities owned and operated by regulated utilities necessary to deliver the electricity that our storage systems produce. A failure or delay in the operation or development of these distribution or transmission facilities could result in a loss of revenues or breach of a contract because such a failure or delay could limit the amount of renewable electricity that our energy storage systems deliver or delay the completion of our customers’ construction projects. In addition, certain of our energy storage systems’ generation may be curtailed without compensation due to distribution and transmission limitations, reducing our revenues and impairing our ability to capitalize fully on a particular customer project’s potential. Such a failure or curtailment at levels above our expectations could impact our ability to satisfy agreements entered into with our suppliers and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some instances, and may in the future, enter into long-term supply agreements that could result in insufficient inventory and negatively affect our results of operations.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have entered into supply agreements with certain suppliers of battery storage systems and other components of our energy storage systems. Some of these supply agreements provide for fixed or inflation-adjusted pricing and substantial prepayment obligations. If our suppliers provide insufficient inventory at the level of quality required to meet customer demand, or if our suppliers are unable or unwilling to provide us with the contracted quantities, as we have limited alternatives for supply in the short term, our results of</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operations could be materially and negatively impacted. 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supply relationships with our critical suppliers, or secure new long-term supply agreements.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Additionally, many of the battery storage systems and components of our energy storage systems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maintain customer confidence in our long-term business prospects in order to grow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Customers may be less likely to purchase our hardware and services if they are not convinced that our business will succeed or that our services and support and other operations will continue in the long term. Similarly, suppliers and other third parties will be less likely to invest time and resources in developing business relationships with us if they are not convinced that our business will succeed.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Accordingly, in order to grow our business, we must maintain confidence among our customers, OEM suppliers, analysts, ratings agencies, third-party general contractor partners, financing partners and other parties in our long-term business prospects. This may be particularly complicated by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limited operating history at current scale;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unfamiliarity with or uncertainty about our energy storage and management systems and the overall perception of the distributed and renewable energy generation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inexperience with new product offerings and services and difficulties arising from the successful rollout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delivery and service operations to meet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prices for electricity in particular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competition from alternate sources of energy;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warranty or unanticipated service issues we may experience in connection with third-party manufactured hardware and our proprietary software;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environmental consciousness and perceived value of environmental programs to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size of our expansion plans in comparison to our existing capital base and the scope and history of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availability and amount of incentives, credits, subsidies or other programs to promote installation of energy storage systems.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Several of these factors are largely outside our control, and any negative perceptions about our long-term business prospects, even if unfounded, would likely adversely affect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Cybersecurity and Information Technology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 and any unauthorized access to, or disclosure or theft of personal information we gather, store or use could harm our reputation and subject us to claims or litigation.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subject to a variety of local, state, national and international laws, directives and regulations that apply to the collection, use, retention, protection, disclosure, transfer and other processing of personal information in the different jurisdictions in which we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operate, including comprehensive regulatory systems in the U.S. and Europe. California enacted the CCPA, which creates individual privacy rights for California consumers and increases the privacy and security obligations of entities handling certain personal information. The CCPA went into effect on January 1, 2020, and became enforceable by the California Attorney General on July 1, 2020. The CCPA has been amended from time to time, and, further a new privacy law, the California Privacy Rights Act, or CPRA, was approved by California voters in the November 3, 2020 election. Effective January 1, 2023, the CPRA significantly modified the CCPA, including by establishing consumers’ rights with respect to certain sensitive personal information. The CPRA also creates a new state agency that will be vested with authority to implement and enforce the CCPA and the CPRA. It remains unclear what, if any, further modifications will be made to the CCPA or CPRA, or how such legislation will be interpreted. In addition, new legislation proposed or enacted in various other states will continue to shape the data privacy environment nationally. Comprehensive data privacy laws in Virginia, Colorado, Connecticut, and Utah have been enacted and slated to go into effect in 2023. These state laws impose similar obligations on businesses and grant similar rights in consumers, as is provided under the CCPA and CPRA but aspects of these state privacy statutes remain unclear, resulting in further legal uncertainty and potentially requiring us to modify our data practices and policies and to incur substantial additional costs and expenses in an effort to comply. Complying with these and other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Certain other state laws impose similar privacy obligations and all 50 states have laws including obligations to provide notification of security breaches of computer databases that contain personal information to affected individuals, state officers and others.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On May 25, 2018, the European Union (“EU”) began enforcement of the General Data Protection Regulation 2016/679 (“GDPR”), a comprehensive data protection legal regime that applies to organizations within the EU that process information and organizations located outside of the EU that process personal information of individuals in the EU where such processing relates to either: (a) the offering of goods or services to individuals in the EU; or (b) the monitoring of the behavior of individuals as far as that behavior takes place within the EU.</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GDPR imposes stringent requirements on organizations that determine the purposes and means of processing personal information (“Controllers”) and organizations that process personal information for and on behalf of Controllers (“Processors”)personal information, including, for example, robust disclosure requirements to individuals regarding the purposes for which and manner in which their personal information may be processed, robust personal information security requirements, comprehensive requirements for maintaining internal compliance documentation relating to the processing of personal information, a comprehensive individual rights regime, specific timelines for reporting Personal Data breaches to regulators and affected individuals, limitations on retention of personal information, stringent limitations on processing special categories of Personal Data (such as health data), and obligations when contracting with Processors in connection with the processing of Personal Data.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GDPR also imposes strict requirements on the transfer of Personal Data out of the European Economic Area (“EEA”) to the United States and other third countries. In July 2020, the Court of Justice of the European Union issued a decision that struck down the EU-U.S. Privacy Shield framework, which provided companies with a mechanism to comply with data protection requirements when transferring Personal Data from the EEA to the United States and additionally called into question the validity of the European Commission’s Standard Contractual Clauses (“SCCs”), on which U.S. companies rely to transfer personal information from the EEA to the United States and elsewhere. Presently, the primary means of validly transferring personal information from the EEA to the United States is the updated SCCs of the European Commission, which should be supported by a transfer impact assessment detailing the risks to the personal information that have been transferred according to the application of local laws in the jurisdiction to which they are being transferred. Where personal information are transferred without SCCs in place, and/or any other valid transfer mechanism, this creates a risk of enforcement action for non-compliance with the requirements of the GDPR.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we, or any Processor engaged by us, fail to comply with the GDPR and the applicable national data protection laws of the EU or EEA Member States, or if regulators assert we have failed to comply with these laws, it may lead to regulatory enforcement actions, which can result in monetary penalties of up to €20 million or 4% of the total worldwide annual turnover of the preceding financial year, whichever is higher, and other administrative penalties. Individuals also have a right to receive compensation for material or non-material damage suffered as a result of a violation of the GDPR.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following the withdrawal of the United Kingdom (“UK”) from the EU, Controllers and Processors in the UK that process personal information (as well as Controllers and Processors not based in the UK that process personal information of individuals in the UK where such processing relates to either: (a) the offering of goods or services to individuals in the UK; or (b) the monitoring of the behavior of individuals as far as that behavior takes place within the UK) have to comply with both the GDPR as incorporated into the national laws of the UK (“UK GDPR”) and the Data Protection Act of 2018. The UK GDPR and Data Protection Act 2018 impose stringent requirements on Controllers and Processors with respect to the Processing of personal information, which are consistent in all material respects with those detailed above as set out in the GDPR.</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On June 28, 2021, the European Commission announced a decision of “adequacy” concluding that the UK ensures an equivalent level of data protection to the GDPR. The effect of the adequacy decision is that personal information may flow between the EEA and the UK without hindrance and/or the need to implement any specific data transfer mechanism. This adequacy decision must be reviewed after four years and is subject to modification or revocation at any time. We note that the UK government has indicated its intention to amend the UK GDPR, the Data Protection Act 2018 and other laws relevant to privacy and cybersecurity. The impact of any changes to existing privacy and cybersecurity laws will not be clear until full details of these changes have been published and agreed.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we, or any Processor engaged by us, fail to comply with the UK GDPR and the Data Protection Act 2018, or if regulators assert we have failed to comply with these laws, it may lead to regulatory enforcement actions, which can result in monetary penalties of up to the greater of £17.5 million or 4% of global turnover, whichever is higher, and other administrative penalties. Individuals also have a right to receive compensation for material or non-material damage suffered as a result of a violation of the UK GDPR.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Compliance with U.S. and international data protection laws and regulations could cause us to incur substantial costs or require us to change our business practices and compliance procedures in a manner adverse to our business. Our and our collaborators’ and contractors’ failure to fully comply with GDPR, the CCPA and other data protection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 leading to loss of business opportunities and other adverse effects.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failure of our information technology and data security infrastructure could adversely affect our business and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rely upon the capacity, reliability and security of our IT and data security infrastructure and our ability to expand and continually update this infrastructure in response to the changing needs of our business. Our existing IT systems and any new IT systems we utilize may not perform as expected. If we experience a problem with the functioning of an important IT system or a security breach of our IT systems, including during system upgrades or new system implementations, the resulting disruptions could adversely affect our business.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In addition, some of our products connect to the internet. Despite our implementation of reasonable security measures, these connected products, like those of other companies who produce devices connected to the internet, are vulnerable to unauthorized access and other security breaches. Cybersecurity threat actors employ a wide variety of methods and techniques that are constantly evolving, increasingly sophisticated, and difficult to detect and successfully defend against.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 A breach in the security of our connected products could lead to a disruption in service, remediation costs, loss of reputation, and loss of sales. Although past incidents have not had a material effect on our business operations or financial performance, to the extent that any disruptions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affect our business. We cannot guarantee that future cyberattacks, if successful, will not have a material effect on our business or financial results.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Many governments have enacted laws requiring companies to provide notice of cyber incidents involving certain types of data, including personal information.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face and will continue to face significant competition.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compete for customers, financing partners and incentive dollars with other energy storage providers. Many providers of electricity, such as traditional utilities and other companies offering distributed generation products, have longer operating histories, customer incumbency advantages, access to and influence with local and state governments, and more capital resources than we do. Significant developments in alternative energy storage technologies or improvements in the efficiency or cost of traditional energy sources, including coal, oil, natural gas used in combustion or nuclear power, may materially and adversely affect our business and prospects in ways we cannot anticipate. We may also face new energy storage competitors who are not currently in the market. If we fail to adapt to changing market conditions and to compete successfully with new competitors, we will limit our growth and adversely affect our business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of our suppliers also supply systems and components to other businesses, including businesses engaged in the production of consumer electronics and other industries unrelated to energy storage systems. As a relatively low-volume purchaser of certain of these parts and materials, we may be unable to procure a sufficient supply of the items in the event that our suppliers fail to produce sufficient quantities to satisfy the demands of all of their customers, which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not able to continue to reduce our cost structure in the future, our ability to increase revenue may be impaired.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must continue to reduce the costs of production, installation and operation of our energy storage systems to expand our market.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Additionally, certain of our existing service contracts were entered into based on projections regarding service costs reductions that assume continued advances in the cost of delivery of our services, which we may be unable to realize. While we have been successful in reducing our costs to date, the cost of battery storage systems and other components of our energy storage systems, for example, could increase in the future. Any such increases could slow our growth and cause our financial results and operational metrics to suffer. In addition, we may face increases in our other expenses, including increases in wages or other labor costs, as well as marketing, sales or related costs. We will continue to make significant investments to drive growth in the future. In order to expand into new markets while still maintaining our current margins, we will need to continue to reduce our costs. Increases in any of these costs, or our failure to achieve projected cost reductions, could adversely affect our business, financial condition and results of operations. If we are unable to reduce our cost structure in the future, our net profits may decrease, which could have a material adverse effect on our business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fail to capture customers in the new product and geographic markets that we are pursuing.</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new products are complex and require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Intellectual Property and Technology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cannot be certain that our pending patent applications will result in issued patents or that any of our issued patents will afford protection against a competitor.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related to issued U.S. patents will be issued in other regions. Furthermore, even if these patent applications are accepted and the associated patents issued, some foreign countries provide significantly less effective patent enforcement than in the U.S.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rely on third-party agents for the maintenance of certain foreign patent assets, and we cannot be certain that all necessary steps have been taken to maintain those assets in good standing. A failure to maintain key intellectual property assets could have a materially adverse effect on our business, prospects, and operating results.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patents issued to us may be infringed upon or designed around by others and others may obtain patents that we need to license or design around, either of which would increase costs and may adversely affect our business, prospects, and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Although we have taken many protective measures to protect our intellectual property, including trade secrets, policing unauthorized use of proprietary technology can be difficult and expensive. For example, we have software developers that reside in California and it is not legally permissible to prevent them from working for a competitor, if and when one should exist.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Also, litigation may be necessary to enforce our intellectual property rights, protect our trade secrets, or determine the validity and scope of the proprietary rights of others. Such litigation may result in our intellectual property rights being challenged, limited in scope or declared invalid or unenforceable. We cannot be certain that the outcome of any litigation will be in our favor, and an adverse determination in any such litigation could impair our intellectual property rights and may adversely affect our business, prospects and reputation.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rely primarily on patent, trade secret and trademark laws, and non-disclosure, confidentiality, and other types of contractual restrictions to establish, maintain, and enforce our intellectual property and proprietary rights. However, our rights under these laws and agreements afford us only limited protection and the actions we take to establish, maintain, and enforce our intellectual property rights may not be adequate. For example, our trade secrets and other confidential information could be disclosed in an unauthorized manner to third parties, our owned or licensed intellectual property rights could be challenged, invalidated, circumvented, infringed, or misappropriated or our intellectual property rights may not be sufficient to provide us with a competitive advantage, any of which could have a material adverse effect on our business, financial condition and results of operations. In addition, the laws of some countries do not protect proprietary rights as fully as do the laws of the U.S. As a result, we may not be able to protect our proprietary rights adequately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need to defend ourselves against claims that we infringe, have misappropriated, or otherwise violate the intellectual property rights of others, which may be time-consuming and would cause us to incur substantial costs.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Companies, organizations or individuals, including our competitors, may hold or obtain patents, trademarks or other proprietary rights that they may in the future believe are infringed by our products. We are currently subject to certain claims related to intellectual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property and companies holding patents or other intellectual property rights allegedly relating to our technologies could, in the future, make claims or bring suits alleging infringement, misappropriation or other violations of such rights, or otherwise asserting their rights and seeking licenses or injunctions. If a claim is successfully brought in the future and we or our products are determined to have infringed, misappropriated, or otherwise violated a third-party’s intellectual property rights,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cease selling products that incorporate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pay substantial damages (including treble damages and attorneys’ fees if our infringement is determined to be willful);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obtain a license from the holder of the intellectual property right,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redesign our products or services, which may not be possible or cost-effective.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Any of the foregoing could adversely affect our business, financial condition and operating results. In addition, any litigation or claims, whether or not valid, could adversely affect our reputation, result in substantial costs, and divert resources and management attention.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also license technology from third parties, and incorporate components supplied by third parties into our hardware. We may face claims that our use of such technology or components infringes or otherwise violates the rights of others, which would subject us to the risks described above. We may seek indemnification from our licensors or suppliers under our contracts with them, but our rights to indemnification or our suppliers’ resources may be unavailable or insufficient to cover our costs and losses.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 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 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Patents have a limited lifespan. In the United States, if all maintenance fees are timely paid, the natural expiration of utility and design patents are generally 20 years and 15 years, respectively, from its earliest U.S. non-provisional filing date. Various extensions may be available, but the life of a patent, and the protection it affords, is limited.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subject to claims for remuneration or royalties for assigned service invention rights by our employees, which could result in litigation and adversely affect our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Financial Condition and Liquidity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have funded our operations since inception primarily through financing transactions such as the issuance of bonds,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current COVID-19 pandemic and the ongoing invasion of Ukraine by Russia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our stockholders may experience substantial dilution. We may sell common stock, convertible securities or other equity securities in one or more transactions at a price per share that is less than the price per share paid by current stockholders. If we sell common stock, convertible securities, or other equity securities in more than one transaction, stockholders may be further diluted by subsequent sales. Additionally, future equity financings 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turmoil in the banking industry may negatively impact our business, results of operations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(“SVB”) and Signature Bank (“SNY”),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under continuous pressure to reduce the prices of our products, which has adversely affected, and may continue to adversely affect, our gross margins.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solar power industry has been characterized by declining product prices over time. We have reduced the prices of our products in the past, and we expect to continue to experience pricing pressure for our products in the future, including from our major customers.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due to the COVID-19 pandemic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issuance of Common Stock upon conversion of the Convertible Note (as defined below) could substantially dilute your investment and could impede our ability to obtain additional financing.</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On January 9, 2023, we issued to L1 Energy the Convertible Note, an unsecured convertible promissory note in an aggregate principal amount of $50 million. The Convertible Note is convertible into Common Stock at a number equal to the outstanding principal balance as of the date of conversion divided by an amount equal to the quotient of (x) $550,000,000 divided by (y) the aggregate number of outstanding shares of Legacy Tigo’s common stock, in each case subject to adjustment in accordance with the terms of the Convertible Note. Conversion of the Convertible Note would result in dilution to the equity interests of our other stockholders. We have no control over whether or when the holder will exercise its right to convert the Convertible Note. The existence and potentially dilutive impact of the conversion of the Convertible Note may prevent us from obtaining additional financing in the future on acceptable terms, or at all.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restrict our ability to incur additional indebtedness and impair our ability to satisfy our obligations under the Convertible Note.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indebtedness could have material adverse consequences for our security holders and our business, results of operations and financial condition by,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increasing our vulnerability to adverse economic and industry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limiting our ability to obtain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limiting our flexibility to plan for, or react to, changes in our business;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diluting the interests of our existing security holders as a result of issuing common stock upon conversion of the Convertible Note;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placing us at a possible competitive disadvantage with competitors that are less leveraged than us or have better access to capital.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Convertible Note includes financially restrictive covenants that, among other things, limit our ability to incur additional debt. Without the consent of the holder of the Convertible Note, we may not create, incur, assume, guarantee, or be or remain liable with respect to any senior indebtedness exceeding the greater of (i) $150,000,000 in the aggregate, (ii) an amount equal to 500% of Adjusted EBITDA for the period of 12 consecutive months ending on the last day of the fiscal month ended most recently prior to the date of incurrence of such senior indebtedness or (iii) the amount of senior indebtedness incurred by the Company pursuant to one or more asset-based credit facilities, working capital facilities, or receivable facilities secured only by liens on our or our subsidiaries’ assets and property, plus interest accruing thereon and the termination value of interest rate hedges or currency swaps in respect thereof.</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Convertible Note matures on January 9, 2026. At maturity, unless converted or redeemed, we will need to repay the principal amount under the Convertible Note. Our business may not generate sufficient funds, and we may otherwise be unable to maintain sufficient cash reserves, to pay amounts due under our indebtedness, including the Convertible Note, and our cash needs may increase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unable to raise the funds necessary to repurchase the Convertible Note for cash following a change of control, or to pay any cash amounts due upon redemption or conversion, and our other indebtedness may limit our ability to repurchase the Convertible Note or pay cash upon its conversion.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the event of a change of control, the holder of the Convertible Note has the right to require us to convert all of the Convertible Note to common stock or redeem all of the outstanding principal amount of the Convertible Note plus unpaid interest (whether or not accrued) that would have otherwise accrued and been payable had the Convertible Note remaining outstanding through January 9, 2026. We may not have enough available cash or be able to obtain financing at the time we are required to redeem the Convertible Note or pay the cash amounts due upon conversion or redemption. In addition, applicable law, regulatory authorities and the agreements governing any future indebtedness may restrict our ability to repurchase the Convertible Note or pay the cash amounts due upon conversion or redemption. Our failure to repurchase the Convertible Note or to pay the cash amounts due upon conversion or redemption when required will constitute a default under the Convertible Note. A default under the Convertible Note could also lead to a default under agreements governing any future indebtedness, which may result in that other indebtedness becoming immediately payable in full. We may not have sufficient funds to satisfy all amounts due under such other indebtedness and the Convertible Note.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the Convertible Note could delay or prevent an otherwise beneficial takeover of us.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Certain provisions in the Convertible Note could make a third-party attempt to acquire us more difficult or expensive. For example, if a takeover constitutes a change of control, then the holder will have the right to convert all of the Convertible Note or redeem all of the outstanding principal amount of the Convertible Note. In this case, and in other cases, our obligations under the Convertible Note could increase the cost of acquiring us or otherwise discourage a third party from acquiring us, including in a transaction that holders of our common stock may view as favorable.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Past performance by any member or members of our management team, any of their respective affiliates, may not be indicative of future performance of an investment in the Company.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Past performance by any member or members of our management team or any of their respective affiliates, is not a guarantee of our success. You should not rely on the historical record of any member or members of our management team, any of their respective affiliates, the Sponsors or any of the foregoing’s related investment’s performance, as indicative of the future performance of an investment in the Company or the returns the Company will, or is likely to, generate going forward.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incur increased costs as a result of operating as a public company, and the Company’s management will be required to devote substantial time to new compliance and investor relations initiatives.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a public company, the Company has and will continue to incur significant legal, accounting and other expenses that Legacy Tigo did not incur as a private company.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and will continue to incur significant legal, accounting and other expenses that Legacy Tigo did not previously incur. The Company’s entire management team and many of its other employees will need to devote substantial time to compliance and may not effectively or efficiently manage its transition into a public company.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the Company operates its business in ways it cannot currently anticipate.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expects the rules and regulations applicable to public companies to lead to significant legal and financial compliance costs and to make some activities more time consuming and costly. 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in our governing documents and under Delaware law could make an acquisition of us more difficult.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Charter, the Bylaws and Delaware law contain or will contain provisions that could have the effect of rendering more difficult, delaying, or preventing an acquisition deemed undesirable by the Company’s board of directors. Among other things, the Charter and/or the Bylaws include the following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limitations on convening special stockholder meetings, which could make it difficult for our stockholders to adopt desired governance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prohibition on stockholder action by written consent, which means that our stockholders will only be able to take action at a meeting of stockholders and will not be able to take action by written consent for any matter;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 forum selection clause, which means certain litigation against us can only be brought in Delaware;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authorization of undesignated preferred stock, the terms of which may be established and shares of which may be issued without further action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amendment of certain provisions of the organizational documents only by the affirmative vote of at least two-thirds of the voting power of the outstanding capital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advance notice procedures, which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of directors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the Ownership of Our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price of our Common Stock may be volatile.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Fluctuations in the price of the Company’s securities could contribute to the loss of all or part of your investment. Prior to the Business Combination, there was not a public market for the stock of Legacy Tigo. Accordingly, the valuation ascribed to the Company in the Business Combination may not be indicative of the price that will prevail in the trading market. As a result, the trading price of the Company’s securities could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Factors affecting the trading price of the Company’s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actual or anticipated fluctuations in our quarterly financial results or the quarterly financial results of companies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the market’s expectations about the Company’s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success of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operating results failing to meet the expectations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financial estimates and recommendations by securities analysts concerning the Company or the industry in which the Company operates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operating and stock price performance of other companies that investors deem comparable to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ability to market new and enhanced products and services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laws and regulations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commencement of, or involvement in, litigation involving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changes in the Company’s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volume of shares of the Company’s common stock available for public sale;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major change in the Company’s board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sales of substantial amounts of the Company’s common stock by our directors, executive officers or significant stockholders or the perception that such sales could occur;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general economic and political conditions such as recessions, changes in interest rates, changes in fuel prices, international currency fluctuations and acts of war or terrorism.</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management’s attention.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share price of our Common Stock has been and may continue to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results of operations and financial condition. Any adverse determination in litigation could also subject us to significant liabilities.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over financial reporting, our ability to produce accurate and timely financial statements could be impaired, investors may lose confidence in our financial reporting and the trading price of the Common Stock may decline.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stock.</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the Company is not able to comply with the requirements of Section 404 in a timely manner or it is unable to maintain proper and effective internal controls over financial reporting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is a holding company and our only significant asset is our ownership interest in our subsidiaries and such ownership may not be sufficient to pay dividends or make distributions or loans to enable us to pay any dividends on the Common Stock or satisfy the Company’s other financial obligations, including taxes.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is a holding company with no material assets other than its ownership of our subsidiaries. As a result, the Company has no independent means of generating revenue or cash flow. The Company’s ability to pay taxes and pay dividends will depend on the financial results and cash flows of our subsidiaries and the distributions we receive from our subsidiaries. Deterioration in the financial condition, earnings or cash flow of our subsidiaries for any reason could limit or impair our subsidiaries’ ability to pay such distributions. Additionally, to the extent that the Company needs funds and our subsidiaries are restricted from making such distributions under applicable law or regulation or under the terms of any financing arrangements, or our subsidiaries are otherwise unable to provide such funds, it could materially adversely affect the Company’s liquidity and financial condition.</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Dividends on the Common Stock, if any, will be paid at the discretion of the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the Company is generally prohibited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under Delaware law from making a distribution to stockholders to the extent that, at the time of the distribution, after giving effect to the distribution, liabilities of the Company (with certain exceptions) exceed the fair value of its assets. If our subsidiaries do not have sufficient funds to make distributions, the Company’s ability to declare and pay cash dividends may also be restricted or impaired.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Charter provides that unless we consent in writing to the selection of an alternative forum, the (a)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Additionally, Section 22 of the Securities Act creates concurrent jurisdiction for federal and state courts over all suits brought to enforce any duty or liability created by the Securities Act or the rules and regulations thereunder. As noted above, the Charter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listing of our securities on Nasdaq did not benefit from the process undertaken in connection with an underwritten initial public offering.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Common Stock is listed on the Nasdaq under the symbol “TYGO.” Unlike an underwritten initial public offering of our securities, the initial listing of our securities as a result of the Business Combination did not benefit from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book-building process undertaken by underwriters that helps to inform efficient price discovery with respect to opening trades of newly listed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underwriter support to help stabilize, maintain or affect the public price of the new issue immediately after listing;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potential underwriter liability for material misstatements or omissions of fact in a prospectus used in connection with the securities being offered or for statements made by the underwriters’ securities analysts or other personnel.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operating results and other operating metrics may fluctuate significantly from period to period, which could lead to a decline in the trading price of our Common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Company’s operating results and other operating metrics have fluctuated in the past and may fluctuate in the future as a result of a number of factors, including variations in the Company’s operating performance or the performance of the Company’s competitors, changes in accounting principles, fluctuations in the price and supply of raw materials, fluctuations in the selling prices of the Company’s products, research analyst reports about the Company, the Company’s competitors or the Company’s industry, the Company’s inability to meet analysts’ projections or guidance, strategic decisions by Company or the Company’s competitors, such as acquisitions, capital investments or changes in business strategy, adverse outcomes of litigation, changes in or uncertainty about economic conditions, industry trends, geographies, or customers, activism by any large stockholder or group of stockholders, speculation by the investment community regarding the Company’s business, actual or anticipated growth rates relative to the Company’s competitors, acts of terrorism, natural disasters, changes in consumer preferences and market trends, seasonality, the Company’s ability to retain and attract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customers, the Company’s ability to manage inventory and fulfillment operations, and other factors described elsewhere in this risk factors section. Fluctuations in the Company’s operating results due to these factors or for any other reason could cause the market price of the Common Stock to decline. In addition, the stock markets have experienced price and volume fluctuations that have affected and continue to affect the market price of equity securities issued by many companies. In the past, some companies that have had volatile market prices for their securities have been subject to class action or derivative lawsuits. The filing of a lawsuit against the Company, regardless of the outcome, could have a negative effect on the Company’s business, financial condition and results of operations, as it could result in substantial legal costs and a diversion of management’s attention and resources, and require the Company to make substantial payments to satisfy judgments or to settle litigation.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and management have significant control over the Company’s business.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As of September 30, 2023, the Company’s directors and executive officers beneficially owned, directly or indirectly, in the aggregate, approximately 30,238,755 shares of Common Stock, representing an aggregate of approximately 51.5% of the combined voting power of the Company’s outstanding capital stock (excluding any options or other securities exercisable for Common Stock). As a result, in addition to their day-to-day management roles, the Company’s executive officers and directors are able to exercise significant influence on the Company’s business as stockholders, including influence over election of members of the board of directors and the authorization of other corporate actions requiring stockholder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issuance of additional securities in connection with financings, acquisitions, investments, our equity incentive plans or otherwise would dilute all other stockholders.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may issue additional capital stock in the future. Any such issuance would result in dilution to all other stockholders. In the future, the Company may issue additional stock, including as a grant of equity awards to employees, directors and consultants under our equity incentive plans, to raise capital through equity financings or to acquire or make investments in companies, products or technologies for which we may issue equity securities to pay for such acquisition or investment. Any such issuances of additional capital stock may cause stockholders to experience significant dilution of their ownership interests and the per share value of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has the ability to issue blank check preferred stock, which may discourage or impede acquisition efforts or other transactions.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board of directors has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The Company’s board of directors will make any determination to issue shares of preferred stock based on its judgment as to our and our stockholders’ best interests. The Company’s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then-prevailing market price of the stock.</w:t>
      </w:r>
    </w:p>
    <w:p>
      <w:pPr>
        <w:pStyle w:val="TextBody"/>
        <w:bidi w:val="0"/>
        <w:spacing w:before="360" w:after="283"/>
        <w:jc w:val="both"/>
        <w:rPr>
          <w:rFonts w:ascii="Times New Roman" w:hAnsi="Times New Roman"/>
          <w:b/>
          <w:color w:val="000000"/>
          <w:sz w:val="20"/>
        </w:rPr>
      </w:pPr>
      <w:bookmarkStart w:id="13" w:name="item_2_unregistered_sales_of_equity"/>
      <w:bookmarkEnd w:id="13"/>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both"/>
        <w:rPr>
          <w:rFonts w:ascii="Times New Roman" w:hAnsi="Times New Roman"/>
          <w:b/>
          <w:color w:val="000000"/>
          <w:sz w:val="20"/>
        </w:rPr>
      </w:pPr>
      <w:bookmarkStart w:id="14" w:name="tem_3_defaults_upon_senior_securities"/>
      <w:bookmarkEnd w:id="14"/>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360" w:after="283"/>
        <w:jc w:val="both"/>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360" w:after="283"/>
        <w:jc w:val="both"/>
        <w:rPr>
          <w:rFonts w:ascii="Times New Roman" w:hAnsi="Times New Roman"/>
          <w:b/>
          <w:color w:val="000000"/>
          <w:sz w:val="20"/>
        </w:rPr>
      </w:pPr>
      <w:bookmarkStart w:id="16" w:name="item_5_other_information"/>
      <w:bookmarkEnd w:id="16"/>
      <w:r>
        <w:rPr>
          <w:rFonts w:ascii="Times New Roman" w:hAnsi="Times New Roman"/>
          <w:b/>
          <w:color w:val="000000"/>
          <w:sz w:val="20"/>
        </w:rPr>
        <w:t>Item 5. Other Information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7"/>
        <w:gridCol w:w="146"/>
        <w:gridCol w:w="8632"/>
      </w:tblGrid>
      <w:tr>
        <w:trPr/>
        <w:tc>
          <w:tcPr>
            <w:tcW w:w="1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32" w:type="dxa"/>
            <w:tcBorders/>
            <w:vAlign w:val="center"/>
          </w:tcPr>
          <w:p>
            <w:pPr>
              <w:pStyle w:val="TableContents"/>
              <w:bidi w:val="0"/>
              <w:spacing w:before="0" w:after="283"/>
              <w:jc w:val="left"/>
              <w:rPr>
                <w:sz w:val="4"/>
                <w:szCs w:val="4"/>
              </w:rPr>
            </w:pPr>
            <w:r>
              <w:rPr>
                <w:sz w:val="4"/>
                <w:szCs w:val="4"/>
              </w:rPr>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2" w:type="dxa"/>
            <w:tcBorders/>
            <w:shd w:fill="FFFFFF" w:val="clear"/>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b w:val="false"/>
                  <w:color w:val="0000FF"/>
                  <w:sz w:val="20"/>
                  <w:u w:val="single"/>
                </w:rPr>
                <w:t>Second Amended and Restated Certificate of Incorporation of Tigo Energy, Inc. (incorporated by reference</w:t>
              </w:r>
            </w:hyperlink>
          </w:p>
          <w:p>
            <w:pPr>
              <w:pStyle w:val="TableContents"/>
              <w:bidi w:val="0"/>
              <w:spacing w:before="0" w:after="283"/>
              <w:jc w:val="left"/>
              <w:rPr/>
            </w:pPr>
            <w:hyperlink r:id="rId3">
              <w:r>
                <w:rPr>
                  <w:rStyle w:val="InternetLink"/>
                  <w:rFonts w:ascii="Times New Roman" w:hAnsi="Times New Roman"/>
                  <w:b w:val="false"/>
                  <w:color w:val="0000FF"/>
                  <w:sz w:val="20"/>
                  <w:u w:val="single"/>
                </w:rPr>
                <w:t>to Exhibit 3.1 to the Company’s Current Report on Form 8-K, filed with the SEC on May 30, 2023).</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2" w:type="dxa"/>
            <w:tcBorders/>
            <w:shd w:fill="FFFFFF" w:val="clear"/>
            <w:tcMar>
              <w:top w:w="0" w:type="dxa"/>
              <w:left w:w="0" w:type="dxa"/>
              <w:bottom w:w="0" w:type="dxa"/>
              <w:right w:w="0" w:type="dxa"/>
            </w:tcMar>
            <w:vAlign w:val="center"/>
          </w:tcPr>
          <w:p>
            <w:pPr>
              <w:pStyle w:val="TableContents"/>
              <w:bidi w:val="0"/>
              <w:jc w:val="left"/>
              <w:rPr/>
            </w:pPr>
            <w:hyperlink r:id="rId4">
              <w:r>
                <w:rPr>
                  <w:rStyle w:val="InternetLink"/>
                  <w:rFonts w:ascii="Times New Roman" w:hAnsi="Times New Roman"/>
                  <w:b w:val="false"/>
                  <w:color w:val="0000FF"/>
                  <w:sz w:val="20"/>
                  <w:u w:val="single"/>
                </w:rPr>
                <w:t>Amended and Restated Bylaws of Tigo Energy, Inc. (incorporated by reference to Exhibit 3.2 to the</w:t>
              </w:r>
            </w:hyperlink>
          </w:p>
          <w:p>
            <w:pPr>
              <w:pStyle w:val="TableContents"/>
              <w:bidi w:val="0"/>
              <w:spacing w:before="0" w:after="283"/>
              <w:jc w:val="left"/>
              <w:rPr/>
            </w:pPr>
            <w:hyperlink r:id="rId5">
              <w:r>
                <w:rPr>
                  <w:rStyle w:val="InternetLink"/>
                  <w:rFonts w:ascii="Times New Roman" w:hAnsi="Times New Roman"/>
                  <w:b w:val="false"/>
                  <w:color w:val="0000FF"/>
                  <w:sz w:val="20"/>
                  <w:u w:val="single"/>
                </w:rPr>
                <w:t>Company’s Current Report on Form 8-K, filed with the SEC on May 30, 2023).</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10_1.htm">
              <w:r>
                <w:rPr>
                  <w:rStyle w:val="InternetLink"/>
                  <w:rFonts w:ascii="Times New Roman" w:hAnsi="Times New Roman"/>
                  <w:b w:val="false"/>
                  <w:color w:val="0000FF"/>
                  <w:sz w:val="20"/>
                  <w:u w:val="single"/>
                </w:rPr>
                <w:t>Amendment to Convertible Promissory Note Purchase Agreement and Convertible Promissory Note, dated as of September 24, 2023, by and between Tigo Energy, Inc. and L1 Energy Capital Management S.à.r.l.</w:t>
              </w:r>
            </w:hyperlink>
            <w:hyperlink w:anchor="tygo-ex10_1.htm">
              <w:r>
                <w:rPr>
                  <w:rStyle w:val="InternetLink"/>
                  <w:rFonts w:ascii="Times New Roman" w:hAnsi="Times New Roman"/>
                  <w:color w:val="0000FF"/>
                  <w:sz w:val="20"/>
                </w:rPr>
                <w:t xml:space="preserve"> </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10_2.htm">
              <w:r>
                <w:rPr>
                  <w:rStyle w:val="InternetLink"/>
                  <w:rFonts w:ascii="Times New Roman" w:hAnsi="Times New Roman"/>
                  <w:b w:val="false"/>
                  <w:color w:val="0000FF"/>
                  <w:sz w:val="20"/>
                  <w:u w:val="single"/>
                </w:rPr>
                <w:t>Israeli Participants Sub-Plan to the Tigo Energy, Inc. 2023 Incentive Plan.</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1.htm">
              <w:r>
                <w:rPr>
                  <w:rStyle w:val="InternetLink"/>
                  <w:rFonts w:ascii="Times New Roman" w:hAnsi="Times New Roman"/>
                  <w:b w:val="false"/>
                  <w:color w:val="0000FF"/>
                  <w:sz w:val="20"/>
                  <w:u w:val="single"/>
                </w:rPr>
                <w:t>Certification of Chief Executive Officer pursuant to Rule 13a-14(a)/15d-14(a)</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1_2.htm">
              <w:r>
                <w:rPr>
                  <w:rStyle w:val="InternetLink"/>
                  <w:rFonts w:ascii="Times New Roman" w:hAnsi="Times New Roman"/>
                  <w:b w:val="false"/>
                  <w:color w:val="0000FF"/>
                  <w:sz w:val="20"/>
                  <w:u w:val="single"/>
                </w:rPr>
                <w:t>Certification of Chief Financial Officer pursuant to Rule 13a-14(a)/15d-14(a)</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1.htm">
              <w:r>
                <w:rPr>
                  <w:rStyle w:val="InternetLink"/>
                  <w:rFonts w:ascii="Times New Roman" w:hAnsi="Times New Roman"/>
                  <w:b w:val="false"/>
                  <w:color w:val="0000FF"/>
                  <w:sz w:val="20"/>
                  <w:u w:val="single"/>
                </w:rPr>
                <w:t>Certification of Chief Executive Officer pursuant to Rule 13a-14(b)/15d-14(b)</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ygo-ex32_2.htm">
              <w:r>
                <w:rPr>
                  <w:rStyle w:val="InternetLink"/>
                  <w:rFonts w:ascii="Times New Roman" w:hAnsi="Times New Roman"/>
                  <w:b w:val="false"/>
                  <w:color w:val="0000FF"/>
                  <w:sz w:val="20"/>
                  <w:u w:val="single"/>
                </w:rPr>
                <w:t>Certification of Chief Financial Officer pursuant to Rule 13a-14(b)/15d-14(b)</w:t>
              </w:r>
            </w:hyperlink>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 XBRL Taxonomy Extension Schema Document</w:t>
            </w:r>
            <w:r>
              <w:rPr>
                <w:rFonts w:ascii="Times New Roman" w:hAnsi="Times New Roman"/>
                <w:color w:val="000000"/>
                <w:sz w:val="20"/>
              </w:rPr>
              <w:t xml:space="preserve">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 XBRL Taxonomy Extension Calculation Linkbase Document</w:t>
            </w:r>
            <w:r>
              <w:rPr>
                <w:rFonts w:ascii="Times New Roman" w:hAnsi="Times New Roman"/>
                <w:color w:val="000000"/>
                <w:sz w:val="20"/>
              </w:rPr>
              <w:t xml:space="preserve">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 XBRL Taxonomy Extension Definition Linkbase Document</w:t>
            </w:r>
            <w:r>
              <w:rPr>
                <w:rFonts w:ascii="Times New Roman" w:hAnsi="Times New Roman"/>
                <w:color w:val="000000"/>
                <w:sz w:val="20"/>
              </w:rPr>
              <w:t xml:space="preserve">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 XBRL Taxonomy Extension Label Linkbase Document</w:t>
            </w:r>
            <w:r>
              <w:rPr>
                <w:rFonts w:ascii="Times New Roman" w:hAnsi="Times New Roman"/>
                <w:color w:val="000000"/>
                <w:sz w:val="20"/>
              </w:rPr>
              <w:t xml:space="preserve">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Inline XBRL Taxonomy Extension Presentation Linkbase Document</w:t>
            </w:r>
            <w:r>
              <w:rPr>
                <w:rFonts w:ascii="Times New Roman" w:hAnsi="Times New Roman"/>
                <w:color w:val="000000"/>
                <w:sz w:val="20"/>
              </w:rPr>
              <w:t xml:space="preserve"> </w:t>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Cover Page Interactive Data File (formatted as Inline XBRL and contained in Exhibit 101)</w:t>
            </w:r>
            <w:r>
              <w:rPr>
                <w:rFonts w:ascii="Times New Roman" w:hAnsi="Times New Roman"/>
                <w:color w:val="000000"/>
                <w:sz w:val="20"/>
              </w:rPr>
              <w:t xml:space="preserve"> </w:t>
            </w:r>
          </w:p>
        </w:tc>
      </w:tr>
      <w:tr>
        <w:trPr/>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Filed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Furnished herewith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Tigo Energy, Inc.</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Bill Roeschlein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19" w:name="tygo-ex10_1.htm"/>
      <w:bookmarkStart w:id="20" w:name="kstygoex10_1"/>
      <w:bookmarkEnd w:id="19"/>
      <w:bookmarkEnd w:id="20"/>
      <w:r>
        <w:rPr>
          <w:rFonts w:ascii="Times New Roman" w:hAnsi="Times New Roman"/>
          <w:b/>
          <w:color w:val="000000"/>
          <w:sz w:val="22"/>
        </w:rPr>
        <w:t>Exhibit 10.1</w:t>
      </w:r>
      <w:r>
        <w:br w:type="page"/>
      </w:r>
    </w:p>
    <w:p>
      <w:pPr>
        <w:pStyle w:val="TextBody"/>
        <w:bidi w:val="0"/>
        <w:jc w:val="right"/>
        <w:rPr>
          <w:rFonts w:ascii="Times New Roman" w:hAnsi="Times New Roman"/>
          <w:b/>
          <w:i/>
          <w:color w:val="000000"/>
          <w:sz w:val="22"/>
        </w:rPr>
      </w:pPr>
      <w:r>
        <w:rPr>
          <w:rFonts w:ascii="Times New Roman" w:hAnsi="Times New Roman"/>
          <w:b/>
          <w:i/>
          <w:color w:val="000000"/>
          <w:sz w:val="22"/>
        </w:rPr>
        <w:t>Executed Version</w:t>
      </w:r>
    </w:p>
    <w:p>
      <w:pPr>
        <w:pStyle w:val="TextBody"/>
        <w:bidi w:val="0"/>
        <w:jc w:val="center"/>
        <w:rPr>
          <w:rFonts w:ascii="Times New Roman" w:hAnsi="Times New Roman"/>
          <w:sz w:val="20"/>
        </w:rPr>
      </w:pPr>
      <w:r>
        <w:rPr>
          <w:rFonts w:ascii="Times New Roman" w:hAnsi="Times New Roman"/>
          <w:b/>
          <w:caps/>
          <w:color w:val="000000"/>
          <w:sz w:val="22"/>
        </w:rPr>
        <w:t xml:space="preserve">Amendment to Convertible Promissory Note Purchase Agreement </w:t>
      </w:r>
      <w:r>
        <w:rPr>
          <w:rFonts w:ascii="Times New Roman" w:hAnsi="Times New Roman"/>
          <w:b/>
          <w:color w:val="000000"/>
          <w:sz w:val="22"/>
        </w:rPr>
        <w:t>AND CONVERTIBLE PROMISSORY NOTE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aps/>
          <w:color w:val="000000"/>
          <w:sz w:val="22"/>
        </w:rPr>
        <w:t>THIS Amendment to CONVERTIBLE PROMISSORY NOTE PURCHASE AGREEMENT</w:t>
      </w:r>
      <w:r>
        <w:rPr>
          <w:rFonts w:ascii="Times New Roman" w:hAnsi="Times New Roman"/>
          <w:color w:val="000000"/>
          <w:sz w:val="20"/>
        </w:rPr>
        <w:t xml:space="preserve"> </w:t>
      </w:r>
      <w:r>
        <w:rPr>
          <w:rFonts w:ascii="Times New Roman" w:hAnsi="Times New Roman"/>
          <w:b w:val="false"/>
          <w:color w:val="000000"/>
          <w:sz w:val="22"/>
        </w:rPr>
        <w:t>AND CONVERTIBLE PROMISSORY NOTE (this “</w:t>
      </w:r>
      <w:r>
        <w:rPr>
          <w:rFonts w:ascii="Times New Roman" w:hAnsi="Times New Roman"/>
          <w:b w:val="false"/>
          <w:color w:val="000000"/>
          <w:sz w:val="22"/>
          <w:u w:val="single"/>
        </w:rPr>
        <w:t>Amendment</w:t>
      </w:r>
      <w:r>
        <w:rPr>
          <w:rFonts w:ascii="Times New Roman" w:hAnsi="Times New Roman"/>
          <w:color w:val="000000"/>
          <w:sz w:val="20"/>
        </w:rPr>
        <w:t>”</w:t>
      </w:r>
      <w:r>
        <w:rPr>
          <w:rFonts w:ascii="Times New Roman" w:hAnsi="Times New Roman"/>
          <w:b w:val="false"/>
          <w:color w:val="000000"/>
          <w:sz w:val="22"/>
        </w:rPr>
        <w:t>) is made as of September 24, 2023 by and among Tigo Energy, Inc., a Delaware corporation (the “</w:t>
      </w:r>
      <w:r>
        <w:rPr>
          <w:rFonts w:ascii="Times New Roman" w:hAnsi="Times New Roman"/>
          <w:b w:val="false"/>
          <w:color w:val="000000"/>
          <w:sz w:val="22"/>
          <w:u w:val="single"/>
        </w:rPr>
        <w:t>Company</w:t>
      </w:r>
      <w:r>
        <w:rPr>
          <w:rFonts w:ascii="Times New Roman" w:hAnsi="Times New Roman"/>
          <w:color w:val="000000"/>
          <w:sz w:val="20"/>
        </w:rPr>
        <w:t>”</w:t>
      </w:r>
      <w:r>
        <w:rPr>
          <w:rFonts w:ascii="Times New Roman" w:hAnsi="Times New Roman"/>
          <w:b w:val="false"/>
          <w:color w:val="000000"/>
          <w:sz w:val="22"/>
        </w:rPr>
        <w:t>), and L1 Energy Capital Management S.à.r.l., the energy investment division of LetterOne (the “</w:t>
      </w:r>
      <w:r>
        <w:rPr>
          <w:rFonts w:ascii="Times New Roman" w:hAnsi="Times New Roman"/>
          <w:b w:val="false"/>
          <w:color w:val="000000"/>
          <w:sz w:val="22"/>
          <w:u w:val="single"/>
        </w:rPr>
        <w:t>Purchaser</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WHEREAS, the Company and the Purchaser are parties to that certain Convertible Promissory Note Purchase Agreement, dated as of January 9, 2023 (the “</w:t>
      </w:r>
      <w:r>
        <w:rPr>
          <w:rFonts w:ascii="Times New Roman" w:hAnsi="Times New Roman"/>
          <w:b w:val="false"/>
          <w:color w:val="000000"/>
          <w:sz w:val="22"/>
          <w:u w:val="single"/>
        </w:rPr>
        <w:t>Purchase Agreement</w:t>
      </w:r>
      <w:r>
        <w:rPr>
          <w:rFonts w:ascii="Times New Roman" w:hAnsi="Times New Roman"/>
          <w:color w:val="000000"/>
          <w:sz w:val="20"/>
        </w:rPr>
        <w:t>”</w:t>
      </w:r>
      <w:r>
        <w:rPr>
          <w:rFonts w:ascii="Times New Roman" w:hAnsi="Times New Roman"/>
          <w:b w:val="false"/>
          <w:color w:val="000000"/>
          <w:sz w:val="22"/>
        </w:rPr>
        <w:t>), as amended by the First Amendment to Convertible Promissory Note Purchase Agreement, dated September 4, 2023 (the “</w:t>
      </w:r>
      <w:r>
        <w:rPr>
          <w:rFonts w:ascii="Times New Roman" w:hAnsi="Times New Roman"/>
          <w:b w:val="false"/>
          <w:color w:val="000000"/>
          <w:sz w:val="22"/>
          <w:u w:val="single"/>
        </w:rPr>
        <w:t>First Amendment to Purchase Agreement</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WHEREAS, in accordance with the terms of the Purchase Agreement, on January 9, 2023 the Company issued to the Purchaser that certain Convertible Promissory Note (the “</w:t>
      </w:r>
      <w:r>
        <w:rPr>
          <w:rFonts w:ascii="Times New Roman" w:hAnsi="Times New Roman"/>
          <w:b w:val="false"/>
          <w:color w:val="000000"/>
          <w:sz w:val="22"/>
          <w:u w:val="single"/>
        </w:rPr>
        <w:t>Convertible Note</w:t>
      </w:r>
      <w:r>
        <w:rPr>
          <w:rFonts w:ascii="Times New Roman" w:hAnsi="Times New Roman"/>
          <w:color w:val="000000"/>
          <w:sz w:val="20"/>
        </w:rPr>
        <w:t>”</w:t>
      </w:r>
      <w:r>
        <w:rPr>
          <w:rFonts w:ascii="Times New Roman" w:hAnsi="Times New Roman"/>
          <w:b w:val="false"/>
          <w:color w:val="000000"/>
          <w:sz w:val="22"/>
        </w:rPr>
        <w:t>) in an aggregate principal amount of $50.0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WHEREAS, pursuant to Section 8.9 of the Purchase Agreement, the Purchase Agreement or the Convertible Note may be amended and observance of any term of the Purchase Agreement or the Convertible Note may be waived (either generally or in a particular instance and either retroactively or prospectively), with the written consent of the Company and the Requisite Holders;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WHEREAS, the Purchaser is the sole holder of the Convertible Note;</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WHEREAS, pursuant to Section 3 of the First Amendment to Purchase Agreement, the First Amendment to Purchase Agreement may not be amended except by an instrument in writing signed by the Company and the Purchaser;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WHEREAS, the Company and the Purchaser desire to amend the Purchase Agreement, the Convertible Note and the First Amendment to Purchase Agreement as set forth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NOW, THEREFORE, in consideration of the foregoing and other good and valuable consideration, the receipt and sufficiency of which are hereby acknowledged, the Company and the Purchaser agree as follows:</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1.</w:t>
      </w:r>
    </w:p>
    <w:p>
      <w:pPr>
        <w:pStyle w:val="TextBody"/>
        <w:bidi w:val="0"/>
        <w:jc w:val="both"/>
        <w:rPr/>
      </w:pPr>
      <w:r>
        <w:rPr>
          <w:rFonts w:ascii="Times New Roman" w:hAnsi="Times New Roman"/>
          <w:b w:val="false"/>
          <w:color w:val="000000"/>
          <w:sz w:val="22"/>
          <w:u w:val="single"/>
        </w:rPr>
        <w:t>Defined Terms</w:t>
      </w:r>
      <w:r>
        <w:rPr>
          <w:rFonts w:ascii="Times New Roman" w:hAnsi="Times New Roman"/>
          <w:b w:val="false"/>
          <w:color w:val="000000"/>
          <w:sz w:val="22"/>
        </w:rPr>
        <w:t xml:space="preserve">. Capitalized terms not otherwise defined in this Amendment shall have the meanings ascribed to such term in the Purchase Agreement. </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jc w:val="both"/>
        <w:rPr/>
      </w:pPr>
      <w:r>
        <w:rPr>
          <w:rFonts w:ascii="Times New Roman" w:hAnsi="Times New Roman"/>
          <w:b w:val="false"/>
          <w:color w:val="000000"/>
          <w:sz w:val="22"/>
          <w:u w:val="single"/>
        </w:rPr>
        <w:t>Cancellation of First Amendment to Purchase Agreement</w:t>
      </w:r>
      <w:r>
        <w:rPr>
          <w:rFonts w:ascii="Times New Roman" w:hAnsi="Times New Roman"/>
          <w:b w:val="false"/>
          <w:color w:val="000000"/>
          <w:sz w:val="22"/>
        </w:rPr>
        <w:t>. The First Amendment to Purchase Agreement is hereby voided and cancelled in its entirety and shall be no longer be of any further force or effect.</w:t>
      </w:r>
    </w:p>
    <w:p>
      <w:pPr>
        <w:pStyle w:val="TextBody"/>
        <w:bidi w:val="0"/>
        <w:jc w:val="left"/>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3.</w:t>
      </w:r>
    </w:p>
    <w:p>
      <w:pPr>
        <w:pStyle w:val="TextBody"/>
        <w:bidi w:val="0"/>
        <w:jc w:val="both"/>
        <w:rPr/>
      </w:pPr>
      <w:r>
        <w:rPr>
          <w:rFonts w:ascii="Times New Roman" w:hAnsi="Times New Roman"/>
          <w:b w:val="false"/>
          <w:color w:val="000000"/>
          <w:sz w:val="22"/>
          <w:u w:val="single"/>
        </w:rPr>
        <w:t>Amendment to the Purchase Agreement</w:t>
      </w:r>
      <w:r>
        <w:rPr>
          <w:rFonts w:ascii="Times New Roman" w:hAnsi="Times New Roman"/>
          <w:b w:val="false"/>
          <w:color w:val="000000"/>
          <w:sz w:val="22"/>
        </w:rPr>
        <w:t xml:space="preserve">. Section 6.2 of the Purchase Agreement is hereby amended by inserting the following as Section 6.2(b): </w:t>
      </w:r>
    </w:p>
    <w:p>
      <w:pPr>
        <w:pStyle w:val="TextBody"/>
        <w:bidi w:val="0"/>
        <w:jc w:val="both"/>
        <w:rPr/>
      </w:pPr>
      <w:r>
        <w:rPr/>
        <w:t> </w:t>
      </w:r>
    </w:p>
    <w:p>
      <w:pPr>
        <w:pStyle w:val="TextBody"/>
        <w:bidi w:val="0"/>
        <w:jc w:val="both"/>
        <w:rPr/>
      </w:pPr>
      <w:r>
        <w:rPr>
          <w:color w:val="000000"/>
        </w:rPr>
        <w:t>“</w:t>
      </w:r>
      <w:r>
        <w:rPr>
          <w:rFonts w:ascii="Times New Roman" w:hAnsi="Times New Roman"/>
          <w:b w:val="false"/>
          <w:color w:val="000000"/>
          <w:sz w:val="22"/>
        </w:rPr>
        <w:t xml:space="preserve">(b) </w:t>
      </w:r>
      <w:r>
        <w:rPr>
          <w:rFonts w:ascii="Times New Roman" w:hAnsi="Times New Roman"/>
          <w:b w:val="false"/>
          <w:color w:val="000000"/>
          <w:sz w:val="22"/>
          <w:u w:val="single"/>
        </w:rPr>
        <w:t>Payment of Dividends</w:t>
      </w:r>
      <w:r>
        <w:rPr>
          <w:rFonts w:ascii="Times New Roman" w:hAnsi="Times New Roman"/>
          <w:b w:val="false"/>
          <w:color w:val="000000"/>
          <w:sz w:val="22"/>
        </w:rPr>
        <w:t>. The Company shall not make, declare or pay any dividend or distribution (whether in the form of cash, stock, property or otherwise) to the stockholders of the Company or make any other distributions in respect of the equity interests of the Company during the period in which any amounts due under the Notes are outstanding; provided, that, for the avoidance of doubt, the foregoing shall not prohibit a stock split. In the event the Company makes or declares or pays any dividend or distribution in violation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2"/>
        </w:rPr>
        <w:t>of this Section 6.2(b), then the Company shall pay to the Purchaser, in cash, as liquidated damages, and not as a penalty, an amount equal to 9.09% of the aggregate amount of such dividend or distribution that is actually paid to the Company’s stockholders. Notwithstanding anything to the contrary in this Agreement, the liquidated damages specified in the immediately preceding sentence shall be the Purchaser’s sole and exclusive remedy in the event of a dividend or distribution in violation of this Section 6.2(b).”</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4.</w:t>
      </w:r>
    </w:p>
    <w:p>
      <w:pPr>
        <w:pStyle w:val="TextBody"/>
        <w:bidi w:val="0"/>
        <w:jc w:val="both"/>
        <w:rPr/>
      </w:pPr>
      <w:r>
        <w:rPr>
          <w:rFonts w:ascii="Times New Roman" w:hAnsi="Times New Roman"/>
          <w:b w:val="false"/>
          <w:color w:val="000000"/>
          <w:sz w:val="22"/>
          <w:u w:val="single"/>
        </w:rPr>
        <w:t>Amendment to the Convertible Note</w:t>
      </w:r>
      <w:r>
        <w:rPr>
          <w:rFonts w:ascii="Times New Roman" w:hAnsi="Times New Roman"/>
          <w:b w:val="false"/>
          <w:color w:val="000000"/>
          <w:sz w:val="22"/>
        </w:rPr>
        <w:t xml:space="preserve">. The definition of “Valuation Amount” in the Convertible Note is hereby amended and restated in its entirety as follows: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Valuation Amount</w:t>
      </w:r>
      <w:r>
        <w:rPr>
          <w:rFonts w:ascii="Times New Roman" w:hAnsi="Times New Roman"/>
          <w:color w:val="000000"/>
          <w:sz w:val="20"/>
        </w:rPr>
        <w:t xml:space="preserve">” </w:t>
      </w:r>
      <w:r>
        <w:rPr>
          <w:rFonts w:ascii="Times New Roman" w:hAnsi="Times New Roman"/>
          <w:b w:val="false"/>
          <w:color w:val="000000"/>
          <w:sz w:val="22"/>
        </w:rPr>
        <w:t>means $550,000,000.</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5.</w:t>
      </w:r>
    </w:p>
    <w:p>
      <w:pPr>
        <w:pStyle w:val="TextBody"/>
        <w:bidi w:val="0"/>
        <w:jc w:val="both"/>
        <w:rPr/>
      </w:pPr>
      <w:r>
        <w:rPr>
          <w:rFonts w:ascii="Times New Roman" w:hAnsi="Times New Roman"/>
          <w:b w:val="false"/>
          <w:color w:val="000000"/>
          <w:sz w:val="22"/>
          <w:u w:val="single"/>
        </w:rPr>
        <w:t>Governing Law</w:t>
      </w:r>
      <w:r>
        <w:rPr>
          <w:rFonts w:ascii="Times New Roman" w:hAnsi="Times New Roman"/>
          <w:b w:val="false"/>
          <w:color w:val="000000"/>
          <w:sz w:val="22"/>
        </w:rPr>
        <w:t>. This Amendment is governed by and construed in accordance with the laws of the State of Delaware, without regard to the conflict of laws provisions of such State.</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6.</w:t>
      </w:r>
    </w:p>
    <w:p>
      <w:pPr>
        <w:pStyle w:val="TextBody"/>
        <w:bidi w:val="0"/>
        <w:jc w:val="both"/>
        <w:rPr/>
      </w:pPr>
      <w:r>
        <w:rPr>
          <w:rFonts w:ascii="Times New Roman" w:hAnsi="Times New Roman"/>
          <w:b w:val="false"/>
          <w:color w:val="000000"/>
          <w:sz w:val="22"/>
          <w:u w:val="single"/>
        </w:rPr>
        <w:t>Full Force and Effect; Amendment</w:t>
      </w:r>
      <w:r>
        <w:rPr>
          <w:rFonts w:ascii="Times New Roman" w:hAnsi="Times New Roman"/>
          <w:b w:val="false"/>
          <w:color w:val="000000"/>
          <w:sz w:val="22"/>
        </w:rPr>
        <w:t xml:space="preserve">. Except as expressly provided hereby, each term and provision of the Purchase Agreement and Convertible Note, as applicable, will and does remain in full force and effect. This Amendment may not be amended except by an instrument in writing signed by the Company and the Purchaser. </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7.</w:t>
      </w:r>
    </w:p>
    <w:p>
      <w:pPr>
        <w:pStyle w:val="TextBody"/>
        <w:bidi w:val="0"/>
        <w:jc w:val="both"/>
        <w:rPr/>
      </w:pPr>
      <w:r>
        <w:rPr>
          <w:rFonts w:ascii="Times New Roman" w:hAnsi="Times New Roman"/>
          <w:b w:val="false"/>
          <w:color w:val="000000"/>
          <w:sz w:val="22"/>
          <w:u w:val="single"/>
        </w:rPr>
        <w:t>Counterparts</w:t>
      </w:r>
      <w:r>
        <w:rPr>
          <w:rFonts w:ascii="Times New Roman" w:hAnsi="Times New Roman"/>
          <w:b w:val="false"/>
          <w:color w:val="000000"/>
          <w:sz w:val="22"/>
        </w:rPr>
        <w:t>. This Amendment may be executed in two or more counterparts, all of which shall be deemed an original, but all of which together shall constitute one and the same instrument, and a DocuSign, facsimile or portable document format (pdf) transmission shall be deemed to be an original signature for all purposes under this Amendment.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Remainder of Page Intentionally Left Blank</w:t>
      </w:r>
      <w:r>
        <w:rPr>
          <w:rFonts w:ascii="Times New Roman" w:hAnsi="Times New Roman"/>
          <w:b w:val="false"/>
          <w:color w:val="000000"/>
          <w:sz w:val="22"/>
        </w:rPr>
        <w:t>]</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right"/>
        <w:rPr>
          <w:rFonts w:ascii="Times New Roman" w:hAnsi="Times New Roman"/>
          <w:b/>
          <w:i/>
          <w:color w:val="000000"/>
          <w:sz w:val="22"/>
        </w:rPr>
      </w:pPr>
      <w:r>
        <w:rPr>
          <w:rFonts w:ascii="Times New Roman" w:hAnsi="Times New Roman"/>
          <w:b/>
          <w:i/>
          <w:color w:val="000000"/>
          <w:sz w:val="22"/>
        </w:rPr>
        <w:t>Executed Version</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IN WITNESS WHEREOF, the parties have executed this Agreement as of the date first written above.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COMPANY:</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TIGO ENERGY,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By: </w:t>
      </w:r>
      <w:r>
        <w:rPr>
          <w:rFonts w:ascii="Times New Roman" w:hAnsi="Times New Roman"/>
          <w:b w:val="false"/>
          <w:color w:val="000000"/>
          <w:sz w:val="22"/>
          <w:u w:val="single"/>
        </w:rPr>
        <w:t>/s/ Bill Roeschlein</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Name: Bill Roeschlein</w:t>
      </w:r>
    </w:p>
    <w:p>
      <w:pPr>
        <w:pStyle w:val="TextBody"/>
        <w:bidi w:val="0"/>
        <w:jc w:val="both"/>
        <w:rPr>
          <w:rFonts w:ascii="Times New Roman" w:hAnsi="Times New Roman"/>
          <w:sz w:val="20"/>
        </w:rPr>
      </w:pPr>
      <w:r>
        <w:rPr>
          <w:rFonts w:ascii="Times New Roman" w:hAnsi="Times New Roman"/>
          <w:b w:val="false"/>
          <w:color w:val="000000"/>
          <w:sz w:val="22"/>
        </w:rPr>
        <w:t>Title: Chief Financial Officer</w:t>
      </w:r>
      <w:r>
        <w:rPr>
          <w:rFonts w:ascii="Times New Roman" w:hAnsi="Times New Roman"/>
          <w:color w:val="000000"/>
          <w:sz w:val="20"/>
        </w:rPr>
        <w:t xml:space="preserve"> </w:t>
      </w:r>
    </w:p>
    <w:p>
      <w:pPr>
        <w:pStyle w:val="TextBody"/>
        <w:bidi w:val="0"/>
        <w:jc w:val="center"/>
        <w:rPr>
          <w:color w:val="000000"/>
        </w:rPr>
      </w:pPr>
      <w:r>
        <w:rPr>
          <w:color w:val="000000"/>
        </w:rPr>
        <w:t> </w:t>
      </w:r>
    </w:p>
    <w:p>
      <w:pPr>
        <w:pStyle w:val="TextBody"/>
        <w:bidi w:val="0"/>
        <w:jc w:val="both"/>
        <w:rPr/>
      </w:pPr>
      <w:r>
        <w:rPr/>
        <w:t> </w:t>
      </w:r>
    </w:p>
    <w:p>
      <w:pPr>
        <w:pStyle w:val="TextBody"/>
        <w:bidi w:val="0"/>
        <w:jc w:val="center"/>
        <w:rPr>
          <w:color w:val="000000"/>
        </w:rPr>
      </w:pPr>
      <w:r>
        <w:rPr>
          <w:color w:val="000000"/>
        </w:rPr>
        <w:t> </w:t>
      </w:r>
    </w:p>
    <w:p>
      <w:pPr>
        <w:pStyle w:val="TextBody"/>
        <w:bidi w:val="0"/>
        <w:jc w:val="center"/>
        <w:rPr/>
      </w:pPr>
      <w:r>
        <w:rPr/>
        <w:t> </w:t>
      </w:r>
    </w:p>
    <w:p>
      <w:pPr>
        <w:pStyle w:val="TextBody"/>
        <w:bidi w:val="0"/>
        <w:jc w:val="center"/>
        <w:rPr>
          <w:color w:val="000000"/>
        </w:rPr>
      </w:pPr>
      <w:r>
        <w:rPr>
          <w:color w:val="000000"/>
        </w:rPr>
        <w:t> </w:t>
      </w:r>
    </w:p>
    <w:p>
      <w:pPr>
        <w:pStyle w:val="TextBody"/>
        <w:bidi w:val="0"/>
        <w:jc w:val="left"/>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[Signature Page to Amendment to Convertible Promissory Note Purchase Agreement and Convertible Promissory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PURCHASER:   </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L1 ENERGY CAPITAL MANAGEMENT S.À.R.L.</w:t>
      </w:r>
    </w:p>
    <w:p>
      <w:pPr>
        <w:pStyle w:val="TextBody"/>
        <w:bidi w:val="0"/>
        <w:jc w:val="center"/>
        <w:rPr>
          <w:color w:val="000000"/>
        </w:rPr>
      </w:pPr>
      <w:r>
        <w:rPr>
          <w:color w:val="000000"/>
        </w:rPr>
        <w:t>     </w:t>
      </w:r>
    </w:p>
    <w:p>
      <w:pPr>
        <w:pStyle w:val="TextBody"/>
        <w:bidi w:val="0"/>
        <w:jc w:val="both"/>
        <w:rPr>
          <w:rFonts w:ascii="Times New Roman" w:hAnsi="Times New Roman"/>
          <w:sz w:val="20"/>
        </w:rPr>
      </w:pPr>
      <w:r>
        <w:rPr>
          <w:rFonts w:ascii="Times New Roman" w:hAnsi="Times New Roman"/>
          <w:b w:val="false"/>
          <w:color w:val="000000"/>
          <w:sz w:val="22"/>
        </w:rPr>
        <w:t xml:space="preserve">By: </w:t>
      </w:r>
      <w:r>
        <w:rPr>
          <w:rFonts w:ascii="Times New Roman" w:hAnsi="Times New Roman"/>
          <w:b w:val="false"/>
          <w:color w:val="000000"/>
          <w:sz w:val="22"/>
          <w:u w:val="single"/>
        </w:rPr>
        <w:t>/s/ Maxime Nino</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Name: Maxime Nino</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Title: Director</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Address: 1-3 boulevard de la Foire, L-1528 Luxembourg</w:t>
      </w:r>
    </w:p>
    <w:p>
      <w:pPr>
        <w:pStyle w:val="TextBody"/>
        <w:bidi w:val="0"/>
        <w:jc w:val="both"/>
        <w:rPr/>
      </w:pPr>
      <w:r>
        <w:rPr/>
        <w:t> </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[Signature Page to Amendment to Convertible Promissory Note Purchase Agreement and Convertible Promissory Note]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tygo-ex10_2.htm"/>
      <w:bookmarkStart w:id="22" w:name="kstygoex10_2"/>
      <w:bookmarkEnd w:id="21"/>
      <w:bookmarkEnd w:id="22"/>
      <w:r>
        <w:rPr>
          <w:rFonts w:ascii="Times New Roman" w:hAnsi="Times New Roman"/>
          <w:b/>
          <w:color w:val="000000"/>
          <w:sz w:val="20"/>
        </w:rPr>
        <w:t>Exhibit 10.2</w:t>
      </w:r>
      <w:r>
        <w:br w:type="page"/>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TIGO ENERGY INC.</w:t>
      </w:r>
    </w:p>
    <w:p>
      <w:pPr>
        <w:pStyle w:val="TextBody"/>
        <w:bidi w:val="0"/>
        <w:spacing w:before="0" w:after="180"/>
        <w:jc w:val="center"/>
        <w:rPr>
          <w:rFonts w:ascii="Times New Roman" w:hAnsi="Times New Roman"/>
          <w:b/>
          <w:color w:val="000000"/>
          <w:sz w:val="24"/>
        </w:rPr>
      </w:pPr>
      <w:r>
        <w:rPr>
          <w:rFonts w:ascii="Times New Roman" w:hAnsi="Times New Roman"/>
          <w:b/>
          <w:color w:val="000000"/>
          <w:sz w:val="24"/>
        </w:rPr>
        <w:t>2023 Incentive Plan</w:t>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SUB-PLAN FOR ISRAELI PARTICIPANTS</w:t>
        <w:br/>
      </w:r>
      <w:r>
        <w:rPr>
          <w:rFonts w:ascii="Times New Roman" w:hAnsi="Times New Roman"/>
          <w:color w:val="000000"/>
          <w:sz w:val="20"/>
        </w:rPr>
        <w:t> </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SPECIAL PROVISIONS FOR ISRAELI PARTICIPANTS</w:t>
      </w:r>
    </w:p>
    <w:p>
      <w:pPr>
        <w:pStyle w:val="TextBody"/>
        <w:bidi w:val="0"/>
        <w:spacing w:before="0" w:after="120"/>
        <w:jc w:val="both"/>
        <w:rPr>
          <w:rFonts w:ascii="Times New Roman" w:hAnsi="Times New Roman"/>
          <w:sz w:val="20"/>
        </w:rPr>
      </w:pPr>
      <w:r>
        <w:rPr>
          <w:rFonts w:ascii="Times New Roman" w:hAnsi="Times New Roman"/>
          <w:b w:val="false"/>
          <w:color w:val="000000"/>
          <w:sz w:val="24"/>
        </w:rPr>
        <w:t>1.1 This Sub-Plan (the “</w:t>
      </w:r>
      <w:r>
        <w:rPr>
          <w:rFonts w:ascii="Times New Roman" w:hAnsi="Times New Roman"/>
          <w:b/>
          <w:color w:val="000000"/>
          <w:sz w:val="24"/>
        </w:rPr>
        <w:t>Sub-Plan</w:t>
      </w:r>
      <w:r>
        <w:rPr>
          <w:rFonts w:ascii="Times New Roman" w:hAnsi="Times New Roman"/>
          <w:color w:val="000000"/>
          <w:sz w:val="20"/>
        </w:rPr>
        <w:t>”</w:t>
      </w:r>
      <w:r>
        <w:rPr>
          <w:rFonts w:ascii="Times New Roman" w:hAnsi="Times New Roman"/>
          <w:b w:val="false"/>
          <w:color w:val="000000"/>
          <w:sz w:val="24"/>
        </w:rPr>
        <w:t>) supplements the Tigo Energy,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b w:val="false"/>
          <w:color w:val="000000"/>
          <w:sz w:val="24"/>
        </w:rPr>
        <w:t>) 2023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b w:val="false"/>
          <w:color w:val="000000"/>
          <w:sz w:val="24"/>
        </w:rPr>
        <w:t>), in accordance with the Committee’s authority pursuant to Section 3 of the Plan.</w:t>
      </w:r>
    </w:p>
    <w:p>
      <w:pPr>
        <w:pStyle w:val="TextBody"/>
        <w:bidi w:val="0"/>
        <w:spacing w:before="0" w:after="120"/>
        <w:jc w:val="both"/>
        <w:rPr>
          <w:rFonts w:ascii="Times New Roman" w:hAnsi="Times New Roman"/>
          <w:sz w:val="20"/>
        </w:rPr>
      </w:pPr>
      <w:r>
        <w:rPr>
          <w:rFonts w:ascii="Times New Roman" w:hAnsi="Times New Roman"/>
          <w:b w:val="false"/>
          <w:color w:val="000000"/>
          <w:sz w:val="24"/>
        </w:rPr>
        <w:t>1.2 The Sub-Plan hereunder applies only to Participants who are citizens or residents of the State of Israel, or deemed to be residents of the State of Israel for tax purposes, or who are otherwise subject to taxation in Israel with respect to the grant of Awards (“</w:t>
      </w:r>
      <w:r>
        <w:rPr>
          <w:rFonts w:ascii="Times New Roman" w:hAnsi="Times New Roman"/>
          <w:b/>
          <w:color w:val="000000"/>
          <w:sz w:val="24"/>
        </w:rPr>
        <w:t>Israeli Participants</w:t>
      </w:r>
      <w:r>
        <w:rPr>
          <w:rFonts w:ascii="Times New Roman" w:hAnsi="Times New Roman"/>
          <w:color w:val="000000"/>
          <w:sz w:val="20"/>
        </w:rPr>
        <w:t>”</w:t>
      </w:r>
      <w:r>
        <w:rPr>
          <w:rFonts w:ascii="Times New Roman" w:hAnsi="Times New Roman"/>
          <w:b w:val="false"/>
          <w:color w:val="000000"/>
          <w:sz w:val="24"/>
        </w:rPr>
        <w:t>).</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1.3 . The purpose of this Sub-Plan is to establish certain rules and limitations applicable to Awards that may be granted or issued under the Plan from time to time, in compliance with the tax, securities and other applicable laws currently in force in the State of Israel. This Sub-Plan is applicable to participation in the Plan and is intended to comply with and be subject to the ITO and Section 102. The Company, however, does not warrant that the Plan and Sub-Plan will be recognized by the income tax authorities or that future changes will not be made to the provisions of the law, regulations or the rules, which are promulgated from time to time, or that any exemption or benefit currently available pursuant to Section 102 will not be abolished.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1.4 The Plan and this Sub-Plan shall be read together. Except as otherwise explicitly provided herein, participation in the Plan shall be governed by the terms of the Plan. In any case of contradiction, whether explicit or implied, between the provisions of this Sub-Plan and the Plan, the provisions of this Sub-Plan shall govern.</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1.6 The Sub-Plan shall be administered by the Committee as further set forth in the Plan. Subject to applicable law and without derogating from the generality of the Plan, the Committee shall have plenary authority to determine whether or not an Award shall be granted pursuant to Section 102, and if so, whether such Award be granted to a trustee under the Ordinance and the election of the “Ordinary Income Route” according to Section 102(b)(1) of the Ordinance or the “Capital Gains Route” according to Section 102(b)(2) of the Ordinance or otherwise.</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Capitalized terms not otherwise defined herein shall have the meaning assigned to them in the Plan. The following additional definitions shall apply to this Sub-Plan:</w:t>
      </w:r>
    </w:p>
    <w:p>
      <w:pPr>
        <w:pStyle w:val="TextBody"/>
        <w:bidi w:val="0"/>
        <w:spacing w:before="0" w:after="240"/>
        <w:jc w:val="both"/>
        <w:rPr/>
      </w:pPr>
      <w:r>
        <w:rPr>
          <w:color w:val="000000"/>
        </w:rPr>
        <w:t>“</w:t>
      </w:r>
      <w:r>
        <w:rPr>
          <w:rFonts w:ascii="Times New Roman" w:hAnsi="Times New Roman"/>
          <w:b/>
          <w:color w:val="000000"/>
          <w:sz w:val="24"/>
        </w:rPr>
        <w:t>3(i) Award</w:t>
      </w:r>
      <w:r>
        <w:rPr>
          <w:rFonts w:ascii="Times New Roman" w:hAnsi="Times New Roman"/>
          <w:color w:val="000000"/>
          <w:sz w:val="20"/>
        </w:rPr>
        <w:t xml:space="preserve">” </w:t>
      </w:r>
      <w:r>
        <w:rPr>
          <w:rFonts w:ascii="Times New Roman" w:hAnsi="Times New Roman"/>
          <w:b w:val="false"/>
          <w:color w:val="000000"/>
          <w:sz w:val="24"/>
        </w:rPr>
        <w:t>means an Award, which is subject to taxation pursuant to Section 3(i) of the ITO, which has been granted to any person who is not an Eligible 102 Participant.</w:t>
      </w:r>
    </w:p>
    <w:p>
      <w:pPr>
        <w:pStyle w:val="TextBody"/>
        <w:bidi w:val="0"/>
        <w:spacing w:before="0" w:after="240"/>
        <w:jc w:val="both"/>
        <w:rPr/>
      </w:pPr>
      <w:r>
        <w:rPr>
          <w:color w:val="000000"/>
        </w:rPr>
        <w:t>“</w:t>
      </w:r>
      <w:r>
        <w:rPr>
          <w:rFonts w:ascii="Times New Roman" w:hAnsi="Times New Roman"/>
          <w:b/>
          <w:color w:val="000000"/>
          <w:sz w:val="24"/>
        </w:rPr>
        <w:t>102 Capital Gains Track</w:t>
      </w:r>
      <w:r>
        <w:rPr>
          <w:rFonts w:ascii="Times New Roman" w:hAnsi="Times New Roman"/>
          <w:color w:val="000000"/>
          <w:sz w:val="20"/>
        </w:rPr>
        <w:t xml:space="preserve">” </w:t>
      </w:r>
      <w:r>
        <w:rPr>
          <w:rFonts w:ascii="Times New Roman" w:hAnsi="Times New Roman"/>
          <w:b w:val="false"/>
          <w:color w:val="000000"/>
          <w:sz w:val="24"/>
        </w:rPr>
        <w:t>means the tax alternative set forth in Section 102(b)(2) of the ITO pursuant to which income resulting from the sale of Shares is taxable as a capital gain.</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4"/>
        </w:rPr>
        <w:t>102 Capital Gains Track Grant</w:t>
      </w:r>
      <w:r>
        <w:rPr>
          <w:rFonts w:ascii="Times New Roman" w:hAnsi="Times New Roman"/>
          <w:color w:val="000000"/>
          <w:sz w:val="20"/>
        </w:rPr>
        <w:t xml:space="preserve">” </w:t>
      </w:r>
      <w:r>
        <w:rPr>
          <w:rFonts w:ascii="Times New Roman" w:hAnsi="Times New Roman"/>
          <w:b w:val="false"/>
          <w:color w:val="000000"/>
          <w:sz w:val="24"/>
        </w:rPr>
        <w:t>means a 102 Trustee Grant qualifying for the special tax treatment under the 102 Capital Gains Track.</w:t>
      </w:r>
    </w:p>
    <w:p>
      <w:pPr>
        <w:pStyle w:val="TextBody"/>
        <w:bidi w:val="0"/>
        <w:spacing w:before="0" w:after="240"/>
        <w:jc w:val="both"/>
        <w:rPr/>
      </w:pPr>
      <w:r>
        <w:rPr>
          <w:color w:val="000000"/>
        </w:rPr>
        <w:t>“</w:t>
      </w:r>
      <w:r>
        <w:rPr>
          <w:rFonts w:ascii="Times New Roman" w:hAnsi="Times New Roman"/>
          <w:b/>
          <w:color w:val="000000"/>
          <w:sz w:val="24"/>
        </w:rPr>
        <w:t>102 Ordinary Income Track</w:t>
      </w:r>
      <w:r>
        <w:rPr>
          <w:rFonts w:ascii="Times New Roman" w:hAnsi="Times New Roman"/>
          <w:color w:val="000000"/>
          <w:sz w:val="20"/>
        </w:rPr>
        <w:t xml:space="preserve">” </w:t>
      </w:r>
      <w:r>
        <w:rPr>
          <w:rFonts w:ascii="Times New Roman" w:hAnsi="Times New Roman"/>
          <w:b w:val="false"/>
          <w:color w:val="000000"/>
          <w:sz w:val="24"/>
        </w:rPr>
        <w:t>means the tax alternative set forth in Section 102(b)(1) of the ITO pursuant to which income resulting from the sale of Shares is taxed as ordinary income.</w:t>
      </w:r>
    </w:p>
    <w:p>
      <w:pPr>
        <w:pStyle w:val="TextBody"/>
        <w:bidi w:val="0"/>
        <w:spacing w:before="0" w:after="240"/>
        <w:jc w:val="both"/>
        <w:rPr/>
      </w:pPr>
      <w:r>
        <w:rPr>
          <w:color w:val="000000"/>
        </w:rPr>
        <w:t>“</w:t>
      </w:r>
      <w:r>
        <w:rPr>
          <w:rFonts w:ascii="Times New Roman" w:hAnsi="Times New Roman"/>
          <w:b/>
          <w:color w:val="000000"/>
          <w:sz w:val="24"/>
        </w:rPr>
        <w:t>102 Ordinary Income Track Grant</w:t>
      </w:r>
      <w:r>
        <w:rPr>
          <w:rFonts w:ascii="Times New Roman" w:hAnsi="Times New Roman"/>
          <w:color w:val="000000"/>
          <w:sz w:val="20"/>
        </w:rPr>
        <w:t xml:space="preserve">” </w:t>
      </w:r>
      <w:r>
        <w:rPr>
          <w:rFonts w:ascii="Times New Roman" w:hAnsi="Times New Roman"/>
          <w:b w:val="false"/>
          <w:color w:val="000000"/>
          <w:sz w:val="24"/>
        </w:rPr>
        <w:t>means a 102 Trustee Grant qualifying for the ordinary income tax treatment under the 102 Ordinary Income Track.</w:t>
      </w:r>
    </w:p>
    <w:p>
      <w:pPr>
        <w:pStyle w:val="TextBody"/>
        <w:bidi w:val="0"/>
        <w:spacing w:before="0" w:after="240"/>
        <w:jc w:val="both"/>
        <w:rPr/>
      </w:pPr>
      <w:r>
        <w:rPr>
          <w:color w:val="000000"/>
        </w:rPr>
        <w:t>“</w:t>
      </w:r>
      <w:r>
        <w:rPr>
          <w:rFonts w:ascii="Times New Roman" w:hAnsi="Times New Roman"/>
          <w:b/>
          <w:color w:val="000000"/>
          <w:sz w:val="24"/>
        </w:rPr>
        <w:t>102 Trustee Grant</w:t>
      </w:r>
      <w:r>
        <w:rPr>
          <w:rFonts w:ascii="Times New Roman" w:hAnsi="Times New Roman"/>
          <w:color w:val="000000"/>
          <w:sz w:val="20"/>
        </w:rPr>
        <w:t xml:space="preserve">” </w:t>
      </w:r>
      <w:r>
        <w:rPr>
          <w:rFonts w:ascii="Times New Roman" w:hAnsi="Times New Roman"/>
          <w:b w:val="false"/>
          <w:color w:val="000000"/>
          <w:sz w:val="24"/>
        </w:rPr>
        <w:t>means an Award granted pursuant to Section 102(b) of the ITO and held in trust by a Trustee for the benefit of the Eligible 102 Participant, and includes both 102 Capital Gains Track Grants and 102 Ordinary Income Track Grants.</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b w:val="false"/>
          <w:color w:val="000000"/>
          <w:sz w:val="24"/>
        </w:rPr>
        <w:t>for the purpose of grants made under this Sub-Plan, means any Affiliate, as defined in the Plan, that is an “employing company” within the meaning of Section 102(a) of the ITO.</w:t>
      </w:r>
    </w:p>
    <w:p>
      <w:pPr>
        <w:pStyle w:val="TextBody"/>
        <w:bidi w:val="0"/>
        <w:spacing w:before="0" w:after="240"/>
        <w:jc w:val="both"/>
        <w:rPr/>
      </w:pPr>
      <w:r>
        <w:rPr>
          <w:color w:val="000000"/>
        </w:rPr>
        <w:t>“</w:t>
      </w:r>
      <w:r>
        <w:rPr>
          <w:rFonts w:ascii="Times New Roman" w:hAnsi="Times New Roman"/>
          <w:b/>
          <w:color w:val="000000"/>
          <w:sz w:val="24"/>
        </w:rPr>
        <w:t>Controlling Shareholder</w:t>
      </w:r>
      <w:r>
        <w:rPr>
          <w:rFonts w:ascii="Times New Roman" w:hAnsi="Times New Roman"/>
          <w:color w:val="000000"/>
          <w:sz w:val="20"/>
        </w:rPr>
        <w:t xml:space="preserve">” </w:t>
      </w:r>
      <w:r>
        <w:rPr>
          <w:rFonts w:ascii="Times New Roman" w:hAnsi="Times New Roman"/>
          <w:b w:val="false"/>
          <w:color w:val="000000"/>
          <w:sz w:val="24"/>
        </w:rPr>
        <w:t>as defined in Section 32(9) of the ITO, currently defined as an individual who prior to the grant or as a result of the grant or exercise of any Award, holds or would hold, directly or indirectly, in his name or with a relative (as defined in the ITO) at least (i) 10% of the outstanding share capital of the Company, (ii) 10% of the voting power of the Company, (iii) the right to hold or purchase 10% of the outstanding equity or voting power, (iv) the right to obtain 10% of the “profit” of the Company (as defined in the ITO), or (v) the right to appoint a director of the Company.</w:t>
      </w:r>
    </w:p>
    <w:p>
      <w:pPr>
        <w:pStyle w:val="TextBody"/>
        <w:bidi w:val="0"/>
        <w:spacing w:before="0" w:after="240"/>
        <w:jc w:val="both"/>
        <w:rPr/>
      </w:pPr>
      <w:r>
        <w:rPr>
          <w:color w:val="000000"/>
        </w:rPr>
        <w:t>“</w:t>
      </w:r>
      <w:r>
        <w:rPr>
          <w:rFonts w:ascii="Times New Roman" w:hAnsi="Times New Roman"/>
          <w:b/>
          <w:color w:val="000000"/>
          <w:sz w:val="24"/>
        </w:rPr>
        <w:t>Deposit Requirements</w:t>
      </w:r>
      <w:r>
        <w:rPr>
          <w:rFonts w:ascii="Times New Roman" w:hAnsi="Times New Roman"/>
          <w:color w:val="000000"/>
          <w:sz w:val="20"/>
        </w:rPr>
        <w:t xml:space="preserve">” </w:t>
      </w:r>
      <w:r>
        <w:rPr>
          <w:rFonts w:ascii="Times New Roman" w:hAnsi="Times New Roman"/>
          <w:b w:val="false"/>
          <w:color w:val="000000"/>
          <w:sz w:val="24"/>
        </w:rPr>
        <w:t>shall mean with respect a 102 Trustee Grant, the requirement to evidence deposit of a Award with the Trustee, in accordance with Section 102, in order to qualify as a 102 Trustee Grant.</w:t>
      </w:r>
    </w:p>
    <w:p>
      <w:pPr>
        <w:pStyle w:val="TextBody"/>
        <w:bidi w:val="0"/>
        <w:spacing w:before="0" w:after="240"/>
        <w:jc w:val="both"/>
        <w:rPr/>
      </w:pPr>
      <w:r>
        <w:rPr>
          <w:color w:val="000000"/>
        </w:rPr>
        <w:t>“</w:t>
      </w:r>
      <w:r>
        <w:rPr>
          <w:rFonts w:ascii="Times New Roman" w:hAnsi="Times New Roman"/>
          <w:b/>
          <w:color w:val="000000"/>
          <w:sz w:val="24"/>
        </w:rPr>
        <w:t>Election</w:t>
      </w:r>
      <w:r>
        <w:rPr>
          <w:rFonts w:ascii="Times New Roman" w:hAnsi="Times New Roman"/>
          <w:color w:val="000000"/>
          <w:sz w:val="20"/>
        </w:rPr>
        <w:t xml:space="preserve">” </w:t>
      </w:r>
      <w:r>
        <w:rPr>
          <w:rFonts w:ascii="Times New Roman" w:hAnsi="Times New Roman"/>
          <w:b w:val="false"/>
          <w:color w:val="000000"/>
          <w:sz w:val="24"/>
        </w:rPr>
        <w:t>means the Company’s choice of the type of 102 Trustee Grants it shall make under the Sub-Plan (as between capital gains track or ordinary income track), as filed with the ITA.</w:t>
      </w:r>
    </w:p>
    <w:p>
      <w:pPr>
        <w:pStyle w:val="TextBody"/>
        <w:bidi w:val="0"/>
        <w:spacing w:before="0" w:after="240"/>
        <w:jc w:val="both"/>
        <w:rPr/>
      </w:pPr>
      <w:r>
        <w:rPr>
          <w:color w:val="000000"/>
        </w:rPr>
        <w:t>“</w:t>
      </w:r>
      <w:r>
        <w:rPr>
          <w:rFonts w:ascii="Times New Roman" w:hAnsi="Times New Roman"/>
          <w:b/>
          <w:color w:val="000000"/>
          <w:sz w:val="24"/>
        </w:rPr>
        <w:t>Eligible 102 Participant</w:t>
      </w:r>
      <w:r>
        <w:rPr>
          <w:rFonts w:ascii="Times New Roman" w:hAnsi="Times New Roman"/>
          <w:color w:val="000000"/>
          <w:sz w:val="20"/>
        </w:rPr>
        <w:t xml:space="preserve">” </w:t>
      </w:r>
      <w:r>
        <w:rPr>
          <w:rFonts w:ascii="Times New Roman" w:hAnsi="Times New Roman"/>
          <w:b w:val="false"/>
          <w:color w:val="000000"/>
          <w:sz w:val="24"/>
        </w:rPr>
        <w:t>means an Israeli Participant who is a person employed by the Company or its Affiliates, or an individual who is serving as a director (as defined in the ITO) or an office holder (as defined in the ITO), who is not a Controlling Shareholder.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ITA</w:t>
      </w:r>
      <w:r>
        <w:rPr>
          <w:rFonts w:ascii="Times New Roman" w:hAnsi="Times New Roman"/>
          <w:color w:val="000000"/>
          <w:sz w:val="20"/>
        </w:rPr>
        <w:t xml:space="preserve">” </w:t>
      </w:r>
      <w:r>
        <w:rPr>
          <w:rFonts w:ascii="Times New Roman" w:hAnsi="Times New Roman"/>
          <w:b w:val="false"/>
          <w:color w:val="000000"/>
          <w:sz w:val="24"/>
        </w:rPr>
        <w:t>means the Israel Tax Authority.</w:t>
      </w:r>
    </w:p>
    <w:p>
      <w:pPr>
        <w:pStyle w:val="TextBody"/>
        <w:bidi w:val="0"/>
        <w:spacing w:before="0" w:after="240"/>
        <w:jc w:val="both"/>
        <w:rPr/>
      </w:pPr>
      <w:r>
        <w:rPr>
          <w:color w:val="000000"/>
        </w:rPr>
        <w:t>“</w:t>
      </w:r>
      <w:r>
        <w:rPr>
          <w:rFonts w:ascii="Times New Roman" w:hAnsi="Times New Roman"/>
          <w:b/>
          <w:color w:val="000000"/>
          <w:sz w:val="24"/>
        </w:rPr>
        <w:t>ITO</w:t>
      </w:r>
      <w:r>
        <w:rPr>
          <w:rFonts w:ascii="Times New Roman" w:hAnsi="Times New Roman"/>
          <w:color w:val="000000"/>
          <w:sz w:val="20"/>
        </w:rPr>
        <w:t xml:space="preserve">” </w:t>
      </w:r>
      <w:r>
        <w:rPr>
          <w:rFonts w:ascii="Times New Roman" w:hAnsi="Times New Roman"/>
          <w:b w:val="false"/>
          <w:color w:val="000000"/>
          <w:sz w:val="24"/>
        </w:rPr>
        <w:t>means the Israeli Income Tax Ordinance (New Version), 1961, and the rules, regulations, orders or procedures promulgated thereunder and any amendments thereto, including specifically the Rules, all as may be amended from time to time.</w:t>
      </w:r>
    </w:p>
    <w:p>
      <w:pPr>
        <w:pStyle w:val="TextBody"/>
        <w:bidi w:val="0"/>
        <w:spacing w:before="0" w:after="240"/>
        <w:jc w:val="both"/>
        <w:rPr/>
      </w:pPr>
      <w:r>
        <w:rPr>
          <w:color w:val="000000"/>
        </w:rPr>
        <w:t>“</w:t>
      </w:r>
      <w:r>
        <w:rPr>
          <w:rFonts w:ascii="Times New Roman" w:hAnsi="Times New Roman"/>
          <w:b/>
          <w:color w:val="000000"/>
          <w:sz w:val="24"/>
        </w:rPr>
        <w:t>Non-Trustee Grant</w:t>
      </w:r>
      <w:r>
        <w:rPr>
          <w:rFonts w:ascii="Times New Roman" w:hAnsi="Times New Roman"/>
          <w:color w:val="000000"/>
          <w:sz w:val="20"/>
        </w:rPr>
        <w:t xml:space="preserve">” </w:t>
      </w:r>
      <w:r>
        <w:rPr>
          <w:rFonts w:ascii="Times New Roman" w:hAnsi="Times New Roman"/>
          <w:b w:val="false"/>
          <w:color w:val="000000"/>
          <w:sz w:val="24"/>
        </w:rPr>
        <w:t>means an Award granted to an Eligible 102 Participant pursuant to Section 102(c) of the ITO and not held in trust by a Trustee.</w:t>
      </w:r>
    </w:p>
    <w:p>
      <w:pPr>
        <w:pStyle w:val="TextBody"/>
        <w:bidi w:val="0"/>
        <w:spacing w:before="0" w:after="240"/>
        <w:jc w:val="both"/>
        <w:rPr/>
      </w:pPr>
      <w:r>
        <w:rPr>
          <w:color w:val="000000"/>
        </w:rPr>
        <w:t>“</w:t>
      </w:r>
      <w:r>
        <w:rPr>
          <w:rFonts w:ascii="Times New Roman" w:hAnsi="Times New Roman"/>
          <w:b/>
          <w:color w:val="000000"/>
          <w:sz w:val="24"/>
        </w:rPr>
        <w:t>Required Holding Period</w:t>
      </w:r>
      <w:r>
        <w:rPr>
          <w:rFonts w:ascii="Times New Roman" w:hAnsi="Times New Roman"/>
          <w:color w:val="000000"/>
          <w:sz w:val="20"/>
        </w:rPr>
        <w:t xml:space="preserve">” </w:t>
      </w:r>
      <w:r>
        <w:rPr>
          <w:rFonts w:ascii="Times New Roman" w:hAnsi="Times New Roman"/>
          <w:b w:val="false"/>
          <w:color w:val="000000"/>
          <w:sz w:val="24"/>
        </w:rPr>
        <w:t>means the requisite period prescribed by the ITO and the Rules, or such other period as may be required by the ITA, with respect to 102 Trustee Grants,</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during which Awards granted by the Company must be held by the Trustee for the benefit of the person to whom it was granted. As of the date of the adoption of this Sub-Plan, the Required Holding Period for 102 Capital Gains Track Grants is 24 months from the date of grant.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Rules</w:t>
      </w:r>
      <w:r>
        <w:rPr>
          <w:rFonts w:ascii="Times New Roman" w:hAnsi="Times New Roman"/>
          <w:color w:val="000000"/>
          <w:sz w:val="20"/>
        </w:rPr>
        <w:t xml:space="preserve">” </w:t>
      </w:r>
      <w:r>
        <w:rPr>
          <w:rFonts w:ascii="Times New Roman" w:hAnsi="Times New Roman"/>
          <w:b w:val="false"/>
          <w:color w:val="000000"/>
          <w:sz w:val="24"/>
        </w:rPr>
        <w:t>means the Income Tax Rules (Tax Benefits in Share Issuance to Employees) 5763-2003.</w:t>
      </w:r>
    </w:p>
    <w:p>
      <w:pPr>
        <w:pStyle w:val="TextBody"/>
        <w:bidi w:val="0"/>
        <w:spacing w:before="0" w:after="240"/>
        <w:jc w:val="both"/>
        <w:rPr/>
      </w:pPr>
      <w:r>
        <w:rPr>
          <w:color w:val="000000"/>
        </w:rPr>
        <w:t>“</w:t>
      </w:r>
      <w:r>
        <w:rPr>
          <w:rFonts w:ascii="Times New Roman" w:hAnsi="Times New Roman"/>
          <w:b/>
          <w:color w:val="000000"/>
          <w:sz w:val="24"/>
        </w:rPr>
        <w:t>Section 102</w:t>
      </w:r>
      <w:r>
        <w:rPr>
          <w:rFonts w:ascii="Times New Roman" w:hAnsi="Times New Roman"/>
          <w:color w:val="000000"/>
          <w:sz w:val="20"/>
        </w:rPr>
        <w:t xml:space="preserve">” </w:t>
      </w:r>
      <w:r>
        <w:rPr>
          <w:rFonts w:ascii="Times New Roman" w:hAnsi="Times New Roman"/>
          <w:b w:val="false"/>
          <w:color w:val="000000"/>
          <w:sz w:val="24"/>
        </w:rPr>
        <w:t>shall mean the provisions of Section 102 of the ITO, as amended from time to time.</w:t>
      </w:r>
    </w:p>
    <w:p>
      <w:pPr>
        <w:pStyle w:val="TextBody"/>
        <w:bidi w:val="0"/>
        <w:spacing w:before="0" w:after="240"/>
        <w:jc w:val="both"/>
        <w:rPr/>
      </w:pPr>
      <w:r>
        <w:rPr>
          <w:color w:val="000000"/>
        </w:rPr>
        <w:t>“</w:t>
      </w:r>
      <w:r>
        <w:rPr>
          <w:rFonts w:ascii="Times New Roman" w:hAnsi="Times New Roman"/>
          <w:b/>
          <w:color w:val="000000"/>
          <w:sz w:val="24"/>
        </w:rPr>
        <w:t>Shares</w:t>
      </w:r>
      <w:r>
        <w:rPr>
          <w:rFonts w:ascii="Times New Roman" w:hAnsi="Times New Roman"/>
          <w:color w:val="000000"/>
          <w:sz w:val="20"/>
        </w:rPr>
        <w:t xml:space="preserve">” </w:t>
      </w:r>
      <w:r>
        <w:rPr>
          <w:rFonts w:ascii="Times New Roman" w:hAnsi="Times New Roman"/>
          <w:b w:val="false"/>
          <w:color w:val="000000"/>
          <w:sz w:val="24"/>
        </w:rPr>
        <w:t>shall mean shares of Common Stock (as such term is defined by the Plan).</w:t>
      </w:r>
    </w:p>
    <w:p>
      <w:pPr>
        <w:pStyle w:val="TextBody"/>
        <w:bidi w:val="0"/>
        <w:spacing w:before="0" w:after="240"/>
        <w:jc w:val="both"/>
        <w:rPr/>
      </w:pPr>
      <w:r>
        <w:rPr>
          <w:color w:val="000000"/>
        </w:rPr>
        <w:t>“</w:t>
      </w:r>
      <w:r>
        <w:rPr>
          <w:rFonts w:ascii="Times New Roman" w:hAnsi="Times New Roman"/>
          <w:b/>
          <w:color w:val="000000"/>
          <w:sz w:val="24"/>
        </w:rPr>
        <w:t>Trustee</w:t>
      </w:r>
      <w:r>
        <w:rPr>
          <w:rFonts w:ascii="Times New Roman" w:hAnsi="Times New Roman"/>
          <w:color w:val="000000"/>
          <w:sz w:val="20"/>
        </w:rPr>
        <w:t xml:space="preserve">” </w:t>
      </w:r>
      <w:r>
        <w:rPr>
          <w:rFonts w:ascii="Times New Roman" w:hAnsi="Times New Roman"/>
          <w:b w:val="false"/>
          <w:color w:val="000000"/>
          <w:sz w:val="24"/>
        </w:rPr>
        <w:t>means a person or entity designated by the Committee to serve as a trustee and approved by the ITA in accordance with the provisions of Section 102(a) of the ITO.</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TYPES OF AWARDS AND SECTION 102 ELECTION</w:t>
      </w:r>
    </w:p>
    <w:p>
      <w:pPr>
        <w:pStyle w:val="TextBody"/>
        <w:bidi w:val="0"/>
        <w:spacing w:before="0" w:after="240"/>
        <w:jc w:val="both"/>
        <w:rPr>
          <w:rFonts w:ascii="Times New Roman" w:hAnsi="Times New Roman"/>
          <w:sz w:val="20"/>
        </w:rPr>
      </w:pPr>
      <w:r>
        <w:rPr>
          <w:rFonts w:ascii="Times New Roman" w:hAnsi="Times New Roman"/>
          <w:b w:val="false"/>
          <w:color w:val="000000"/>
          <w:sz w:val="24"/>
        </w:rPr>
        <w:t>3.1 3.1 Awards granted under the Plan pursuant to Section 102, shall be granted pursuant to either (a) Section 102(b)(2) of the ITO as 102 Capital Gains Track Grants or (b) Section 102(b)(1) of the ITO as 102 Ordinary Income Track Grants. The Company’s (or its Affiliate’s) Election regarding the type of 102 Trustee Grant it chooses to make shall be filed with the ITA. Once the Company (or its Affiliate) has filed such Election, it may change the type of 102 Trustee Grant that it chooses to make only after the lapse of at least 12 months from the end of the calendar year in which the first grant was made in accordance with the previous Election, in accordance with Section 102. For the avoidance of doubt, such Election shall not prevent the Company (or its Affiliate) from granting Non-Trustee Grants to Eligible 102 Participants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3.2 Eligible 102 Participants may receive only 102 Trustee Grants or Non-Trustee Grants under this Sub-Plan. Israeli Participants who are not Eligible 102 Participants may be granted only 3(i) Awards under this Sub-Plan.</w:t>
      </w:r>
    </w:p>
    <w:p>
      <w:pPr>
        <w:pStyle w:val="TextBody"/>
        <w:bidi w:val="0"/>
        <w:spacing w:before="0" w:after="240"/>
        <w:jc w:val="both"/>
        <w:rPr>
          <w:rFonts w:ascii="Times New Roman" w:hAnsi="Times New Roman"/>
          <w:sz w:val="20"/>
        </w:rPr>
      </w:pPr>
      <w:r>
        <w:rPr>
          <w:rFonts w:ascii="Times New Roman" w:hAnsi="Times New Roman"/>
          <w:b w:val="false"/>
          <w:color w:val="000000"/>
          <w:sz w:val="24"/>
        </w:rPr>
        <w:t>3.3 No 102 Trustee Grants may be made effective pursuant to this Sub-Plan until 30 days after the date the requisite filings required by the ITO and the Rules, including the filing of the Plan and Sub-Plan, have been made with the ITA.</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3.4 The Award Agreement shall indicate whether the grant is a 102 Trustee Grant, a Non-Trustee Grant or a 3(i) Award; and, if the grant is a 102 Trustee Grant, whether it is a 102 Capital Gains Track Grant or a 102 Ordinary Income Track Grant.</w:t>
      </w:r>
    </w:p>
    <w:p>
      <w:pPr>
        <w:pStyle w:val="TextBody"/>
        <w:bidi w:val="0"/>
        <w:spacing w:before="0" w:after="240"/>
        <w:jc w:val="left"/>
        <w:rPr>
          <w:rFonts w:ascii="Times New Roman" w:hAnsi="Times New Roman"/>
          <w:sz w:val="20"/>
        </w:rPr>
      </w:pPr>
      <w:r>
        <w:rPr>
          <w:rFonts w:ascii="Times New Roman" w:hAnsi="Times New Roman"/>
          <w:b w:val="false"/>
          <w:color w:val="000000"/>
          <w:sz w:val="24"/>
        </w:rPr>
        <w:t>3.5 An Option granted under this Sub-Plan shall be deemed a Nonqualified Stock Option for purposes of U.S. taxation.</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TERMS AND CONDITIONS OF 102 TRUSTEE GRANTS</w:t>
      </w:r>
    </w:p>
    <w:p>
      <w:pPr>
        <w:pStyle w:val="TextBody"/>
        <w:bidi w:val="0"/>
        <w:spacing w:before="0" w:after="240"/>
        <w:jc w:val="both"/>
        <w:rPr>
          <w:rFonts w:ascii="Times New Roman" w:hAnsi="Times New Roman"/>
          <w:sz w:val="20"/>
        </w:rPr>
      </w:pPr>
      <w:r>
        <w:rPr>
          <w:rFonts w:ascii="Times New Roman" w:hAnsi="Times New Roman"/>
          <w:b w:val="false"/>
          <w:color w:val="000000"/>
          <w:sz w:val="24"/>
        </w:rPr>
        <w:t>4.1 Each 102 Trustee Grant shall be deemed granted on the date approved by the Board and stated in a written or electronic notice by the Company, provided that its qualification as a 102</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Trustee Grant shall be dependent upon the Company’s and the Trustee's compliance with any applicable requirements set forth by the ITA with regard to such grants.</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4.2 Each 102 Trustee Grant granted to an Eligible 102 Participant and each certificate for Shares acquired pursuant to a 102 Trustee Grant shall be deposited with a Trustee in compliance with the Deposit Requirements and held in trust by the Trustee for the benefit of the Eligible 102 Participant for the Required Holding Period (or be subject to a supervisory trustee arrangement if approved by the ITA). After termination of the Required Holding Period, the Trustee may release such Awards and any Shares issued with respect to such Award, provided that (i) the Trustee has received an acknowledgment from the ITA that the Eligible 102 Participant has paid any applicable tax due pursuant to the ITO or (ii) the Trustee and/or the Company or its Affiliate withholds any applicable tax due pursuant to the ITO. The Trustee shall not release any 102 Trustee Grants or shares issued with respect to the 102 Trustee Grants prior to the full payment of the Eligible 102 Participant’s tax liabilities.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4.3 Each 102 Trustee Grant shall be subject to the relevant terms of Section 102 and the ITO, which shall be deemed an integral part of the 102 Trustee Grant and shall prevail over any term contained in the Plan, this Sub-Plan or Award Agreement that is not consistent therewith. Any provision of the ITO and any approvals or rulings of the ITA not expressly specified in this Sub-Plan or any document evidencing an Award that are necessary to receive or maintain any tax benefit pursuant to the Section 102 shall be binding on the Eligible 102 Participant. The Trustee and the Eligible 102 Participant granted a 102 Trustee Grant shall comply with the ITO, and the terms and conditions of the trust agreement entered into between the Company and the Trustee. For avoidance of doubt, it is reiterated that compliance with the ITO specifically includes compliance with the Rules. Further, the Eligible 102 Participant agrees to execute any and all documents which the Company or the Trustee may reasonably determine to be necessary in order to comply with the provision of any applicable law, and, particularly, Section 102. With respect to 102 Capital Gain Track Grants, to the extent that the Shares underlying an Award are listed on any established stock exchange or a national market system, the provisions of Section 102(b)(3) of the ITO shall apply with respect to the Israeli tax rate applicable to such Awards.</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4.4 During the Required Holding Period, the Eligible 102 Participant shall not require the Trustee to release or sell the Awards or Shares received following any realization of rights derived from Awards (including stock dividends) to the Eligible 102 Participant or to a third party, unless permitted to do so by applicable law. Notwithstanding the foregoing, the Trustee may, pursuant to a written request and subject to applicable law, release and transfer such Shares to a designated third party, provided that both of the following conditions have been fulfilled prior to such transfer: (i) all taxes required to be paid upon the release and transfer of the Shares have been withheld for transfer to the tax authorities and (ii) the Trustee has received written confirmation from the Company that all requirements for such release and transfer have been fulfilled according to the terms of the Company’s corporate documents, the Plan, any applicable Award Agreement and applicable law. To avoid doubt such sale or release during the Required Holding Period shall result in different tax ramifications to the Eligible 102 Participant under Section 102 of the ITO and the Rules and/or any other regulations or orders or procedures promulgated thereunder, which shall apply to and shall be borne solely by such Eligible 102 Participant (including tax and mandatory payments otherwise payable by the Company or its Affiliates, which would not apply absent a sale or release during the Required Holding Period).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4.5 In the event a stock dividend is declared and/or additional rights are granted with respect to 102 Trustee Grants, such dividend and/or rights shall also be subject to the provisions of this Section 4 and the Required Holding Period for such dividend shares and/or rights shall be measured from the commencement of the Required Holding Period for the Award with respect to which the dividend was declared and/or rights granted. In the event of a cash dividend on Shares, the Trustee shall transfer the dividend proceeds to the Eligible 102 Participant in accordance with the Plan after deduction of taxes and mandatory payments in compliance with applicable withholding requirements, and subject to any other requirements imposed by the ITA.</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4.6 If a 102 Trustee Grant is exercised during the Required Holding Period, the Shares issued upon such exercise shall be issued in the name of the Trustee for the benefit of the Eligible 102 Participant (or be subject to a supervisory trustee arrangement if approved by the ITA). If such Award is exercised or settled after the Required Holding Period ends, the Shares issued upon such exercise or settlement shall, at the election of the Eligible 102 Participant, either (i) be issued in the name of the Trustee for the benefit of the Eligible 102 Participant (or be subject to a supervisory trustee arrangement if approved by the ITA), or (ii) be transferred to the Eligible 102 Participant directly, provided that the Eligible 102 Participant first complies with all applicable provisions of the Plan and this Sub-Plan.</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4.7 Notwithstanding anything to the contrary in the Plan, it is clarified that 102 Trustee Grants are subject to the confirmation and approval of the ITA. In addition, any 102 Trustee Grants are meant to comply in full with the terms and conditions of Section 102 and the requirements of the ITA, and therefore the Plan and the Sub-Plan are to be read such that they comply with the requirements of Section 102. Should any provision in the Plan and/or the Sub-Plan disqualify the Plan and/or the Sub-Plan and/or any 102 Trustee Grants thereunder from beneficial tax treatment pursuant to the provisions of Section 102, such provision shall not apply to such 102 Trustee Grants and the underlying Shares unless the ITA provides approval of compliance with Section 102.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4.8 Without limiting the generality of the foregoing, and notwithstanding anything to the contrary in the Plan or this Sub-Plan, certain adjustments and amendments to the terms of Awards granted under the 102 Capital Gains Track, including pursuant to exchange programs, recapitalization events, and so forth, may disqualify the Awards from benefitting from the tax benefits under the 102 Capital Gains Track, unless the prior approval of the ITA is obtained; and (ii) notwithstanding anything to the contrary in the Plan, repurchase rights with regard to Awards made as 102 Capital Gains Track Grants shall be subject to the express approval of the ITA.</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ASSIGNABILITY</w:t>
      </w:r>
    </w:p>
    <w:p>
      <w:pPr>
        <w:pStyle w:val="TextBody"/>
        <w:bidi w:val="0"/>
        <w:spacing w:before="120" w:after="120"/>
        <w:jc w:val="both"/>
        <w:rPr>
          <w:rFonts w:ascii="Times New Roman" w:hAnsi="Times New Roman"/>
          <w:b w:val="false"/>
          <w:color w:val="000000"/>
          <w:sz w:val="24"/>
        </w:rPr>
      </w:pPr>
      <w:r>
        <w:rPr>
          <w:rFonts w:ascii="Times New Roman" w:hAnsi="Times New Roman"/>
          <w:b w:val="false"/>
          <w:color w:val="000000"/>
          <w:sz w:val="24"/>
        </w:rPr>
        <w:t>As long as Awards or Shares are held by the Trustee on behalf of the Eligible 102 Participant, all rights of the Eligible 102 Participant over the Shares are personal, cannot be transferred, assigned, pledged or mortgaged, other than by will or laws of descent and distribution.</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6.</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TAX CONSEQUENCES</w:t>
      </w:r>
    </w:p>
    <w:p>
      <w:pPr>
        <w:pStyle w:val="TextBody"/>
        <w:bidi w:val="0"/>
        <w:spacing w:before="120" w:after="120"/>
        <w:jc w:val="both"/>
        <w:rPr>
          <w:rFonts w:ascii="Times New Roman" w:hAnsi="Times New Roman"/>
          <w:sz w:val="20"/>
        </w:rPr>
      </w:pPr>
      <w:r>
        <w:rPr>
          <w:rFonts w:ascii="Times New Roman" w:hAnsi="Times New Roman"/>
          <w:b w:val="false"/>
          <w:color w:val="000000"/>
          <w:sz w:val="24"/>
        </w:rPr>
        <w:t>6.1 Any tax consequences arising from the grant or settlement of any Award, the exercise of any Option, the issuance, sale or transfer and payment for the Shares covered thereby, or from any other event or act (of the Company and/or its Affiliates and/or the Trustee and/or the Participant), hereunder (including without any limitation any taxes and compulsory payments, such as National Insurance Institute and health tax payments), shall be borne solely by the Eligible</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120"/>
        <w:jc w:val="both"/>
        <w:rPr>
          <w:rFonts w:ascii="Times New Roman" w:hAnsi="Times New Roman"/>
          <w:b w:val="false"/>
          <w:color w:val="000000"/>
          <w:sz w:val="24"/>
        </w:rPr>
      </w:pPr>
      <w:r>
        <w:rPr>
          <w:rFonts w:ascii="Times New Roman" w:hAnsi="Times New Roman"/>
          <w:b w:val="false"/>
          <w:color w:val="000000"/>
          <w:sz w:val="24"/>
        </w:rPr>
        <w:t>102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Participant.6.2 The Company or any of its Affiliates, and the Trustee may make such provisions and take such steps as it/they may deem necessary or appropriate for the withholding of all taxes required by law to be withheld with respect to a Award granted under the Plan and the exercise, sale, transfer or other disposition thereof,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and/or (iii) withholding otherwise deliverable Shares having a Fair Market Value equal to the minimum amount statutorily required to be withheld; and/or (iv) selling a sufficient number of such Shares otherwise deliverable to a Participant through such means as the Company may determine in its sole discretion (whether through a broker or otherwise) equal to the amount required to be withheld either through a voluntary sale or through a mandatory sale arranged by the Company (on the Participant’s behalf pursuant to the Participant’s authorization as expressed by acceptance of the Award under the terms herein), to the extent permitted by applicable law or pursuant to the approval of the ITA. In addition, the Participant shall be required to pay any amount (including penalties) that exceeds the tax to be withheld and transferred to the tax authorities, pursuant to applicable tax laws, regulations and rules.</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6.3 The Company does not represent or undertake that an Award shall qualify for or comply with the requisites of any particular tax treatment (such as the “capital gains track” under Section 102), nor shall the Company, its assignees or successors be required to take any action for the qualification of any Award under such tax treatment. The Company shall have no liability of any kind or nature in the event that, as a result of applicable law, actions by the Trustee or any position or interpretation of the ITA, or for any other reason whatsoever, an Award shall be deemed to not qualify for any particular tax treatment.</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6.4 With respect to Non-Trustee Grants, if the Eligible 102 Participant ceases to be employed by the Company or any Affiliate, the Eligible 102 Participant shall extend to the Company and/or its Affiliate a security or guarantee for the payment of tax due at the time of sale of Shares to the satisfaction of the Company, all in accordance with the provisions of Section 102 of the ITO and the Rules.</w:t>
      </w:r>
    </w:p>
    <w:p>
      <w:pPr>
        <w:pStyle w:val="TextBody"/>
        <w:bidi w:val="0"/>
        <w:spacing w:before="0" w:after="120"/>
        <w:jc w:val="both"/>
        <w:rPr>
          <w:rFonts w:ascii="Times New Roman" w:hAnsi="Times New Roman"/>
          <w:b w:val="false"/>
          <w:color w:val="000000"/>
          <w:sz w:val="24"/>
        </w:rPr>
      </w:pPr>
      <w:r>
        <w:rPr>
          <w:rFonts w:ascii="Times New Roman" w:hAnsi="Times New Roman"/>
          <w:b w:val="false"/>
          <w:color w:val="000000"/>
          <w:sz w:val="24"/>
        </w:rPr>
        <w:t>6.5 The Company and/or the Trustee shall not be required to release any Share certificate to a Participant until all required payments have been fully made. In the event that the Company or its Affiliate, or the Trustee, as applicable, is uncertain as to the sum of the full tax payment due or which is subject to withholding, the Company or the Trustee, as applicable, may refuse to release the Shares until such time as the ITA verifies the sum of the full tax payment which is due, and the Participant shall not have any claims in connection with such refusal.</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120"/>
        <w:jc w:val="left"/>
        <w:rPr>
          <w:rFonts w:ascii="Times New Roman" w:hAnsi="Times New Roman"/>
          <w:b w:val="false"/>
          <w:color w:val="000000"/>
          <w:sz w:val="22"/>
        </w:rPr>
      </w:pPr>
      <w:r>
        <w:rPr>
          <w:rFonts w:ascii="Times New Roman" w:hAnsi="Times New Roman"/>
          <w:b w:val="false"/>
          <w:color w:val="000000"/>
          <w:sz w:val="22"/>
        </w:rPr>
        <w:t>7.</w:t>
      </w:r>
    </w:p>
    <w:p>
      <w:pPr>
        <w:pStyle w:val="TextBody"/>
        <w:bidi w:val="0"/>
        <w:spacing w:before="240" w:after="120"/>
        <w:jc w:val="left"/>
        <w:rPr>
          <w:rFonts w:ascii="Times New Roman" w:hAnsi="Times New Roman"/>
          <w:b/>
          <w:color w:val="000000"/>
          <w:sz w:val="24"/>
        </w:rPr>
      </w:pPr>
      <w:r>
        <w:rPr>
          <w:rFonts w:ascii="Times New Roman" w:hAnsi="Times New Roman"/>
          <w:b/>
          <w:color w:val="000000"/>
          <w:sz w:val="24"/>
        </w:rPr>
        <w:t>SECURITIES LAWS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All Awards hereunder shall be subject to compliance with the Israeli Securities Law, 1968, and the rules and regulations promulgated thereunder.</w:t>
      </w:r>
    </w:p>
    <w:p>
      <w:pPr>
        <w:pStyle w:val="TextBody"/>
        <w:bidi w:val="0"/>
        <w:spacing w:before="0" w:after="240"/>
        <w:jc w:val="center"/>
        <w:rPr>
          <w:rFonts w:ascii="Times New Roman" w:hAnsi="Times New Roman"/>
          <w:b w:val="false"/>
          <w:color w:val="000000"/>
          <w:sz w:val="24"/>
        </w:rPr>
      </w:pPr>
      <w:r>
        <w:rPr>
          <w:rFonts w:ascii="Times New Roman" w:hAnsi="Times New Roman"/>
          <w:b w:val="false"/>
          <w:color w:val="000000"/>
          <w:sz w:val="24"/>
        </w:rPr>
        <w:t>* *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tygo-ex31_1.htm"/>
      <w:bookmarkStart w:id="24" w:name="kstygo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Zvi Alon,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quarterly period ended September 30, 2023 of Tigo Energy,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bl>
      <w:tblPr>
        <w:tblW w:w="6407" w:type="dxa"/>
        <w:jc w:val="left"/>
        <w:tblInd w:w="0" w:type="dxa"/>
        <w:tblLayout w:type="fixed"/>
        <w:tblCellMar>
          <w:top w:w="28" w:type="dxa"/>
          <w:left w:w="28" w:type="dxa"/>
          <w:bottom w:w="28" w:type="dxa"/>
          <w:right w:w="28" w:type="dxa"/>
        </w:tblCellMar>
      </w:tblPr>
      <w:tblGrid>
        <w:gridCol w:w="2101"/>
        <w:gridCol w:w="4306"/>
      </w:tblGrid>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7, 2023</w:t>
            </w:r>
          </w:p>
        </w:tc>
        <w:tc>
          <w:tcPr>
            <w:tcW w:w="43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Zvi Alon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Zvi Alon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Chairman of the Board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tygo-ex31_2.htm"/>
      <w:bookmarkStart w:id="26" w:name="kstygo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Bill Roeschlein,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for the quarterly period ended September 30, 2023 of Tigo Energy,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tbl>
      <w:tblPr>
        <w:tblW w:w="4112" w:type="dxa"/>
        <w:jc w:val="left"/>
        <w:tblInd w:w="0" w:type="dxa"/>
        <w:tblLayout w:type="fixed"/>
        <w:tblCellMar>
          <w:top w:w="28" w:type="dxa"/>
          <w:left w:w="28" w:type="dxa"/>
          <w:bottom w:w="28" w:type="dxa"/>
          <w:right w:w="28" w:type="dxa"/>
        </w:tblCellMar>
      </w:tblPr>
      <w:tblGrid>
        <w:gridCol w:w="2101"/>
        <w:gridCol w:w="2011"/>
      </w:tblGrid>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7, 2023</w:t>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Bill Roeschlein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Bill Roeschlein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tygo-ex32_1.htm"/>
      <w:bookmarkStart w:id="28" w:name="kstygoex32_1"/>
      <w:bookmarkEnd w:id="27"/>
      <w:bookmarkEnd w:id="28"/>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Tigo Energy, Inc. (the “</w:t>
      </w:r>
      <w:r>
        <w:rPr>
          <w:rFonts w:ascii="Times New Roman" w:hAnsi="Times New Roman"/>
          <w:b w:val="false"/>
          <w:color w:val="000000"/>
          <w:sz w:val="20"/>
          <w:u w:val="single"/>
        </w:rPr>
        <w:t>Company</w:t>
      </w:r>
      <w:r>
        <w:rPr>
          <w:rFonts w:ascii="Times New Roman" w:hAnsi="Times New Roman"/>
          <w:color w:val="000000"/>
          <w:sz w:val="20"/>
        </w:rPr>
        <w:t>”</w:t>
      </w:r>
      <w:r>
        <w:rPr>
          <w:rFonts w:ascii="Times New Roman" w:hAnsi="Times New Roman"/>
          <w:b w:val="false"/>
          <w:color w:val="000000"/>
          <w:sz w:val="20"/>
        </w:rPr>
        <w:t>) for the quarter ended September 30, 2023, as filed with the Securities and Exchange Commission on the date hereof (the “</w:t>
      </w:r>
      <w:r>
        <w:rPr>
          <w:rFonts w:ascii="Times New Roman" w:hAnsi="Times New Roman"/>
          <w:b w:val="false"/>
          <w:color w:val="000000"/>
          <w:sz w:val="20"/>
          <w:u w:val="single"/>
        </w:rPr>
        <w:t>Report</w:t>
      </w:r>
      <w:r>
        <w:rPr>
          <w:rFonts w:ascii="Times New Roman" w:hAnsi="Times New Roman"/>
          <w:color w:val="000000"/>
          <w:sz w:val="20"/>
        </w:rPr>
        <w:t>”</w:t>
      </w:r>
      <w:r>
        <w:rPr>
          <w:rFonts w:ascii="Times New Roman" w:hAnsi="Times New Roman"/>
          <w:b w:val="false"/>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Dated: November 7, 2023</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Zvi Alon</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Chairman of the Board</w:t>
            </w:r>
          </w:p>
        </w:tc>
      </w:tr>
      <w:tr>
        <w:trPr/>
        <w:tc>
          <w:tcPr>
            <w:tcW w:w="161"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tygo-ex32_2.htm"/>
      <w:bookmarkStart w:id="30" w:name="kstygoex32_2"/>
      <w:bookmarkEnd w:id="29"/>
      <w:bookmarkEnd w:id="30"/>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Tigo Energy, Inc. (the “</w:t>
      </w:r>
      <w:r>
        <w:rPr>
          <w:rFonts w:ascii="Times New Roman" w:hAnsi="Times New Roman"/>
          <w:b w:val="false"/>
          <w:color w:val="000000"/>
          <w:sz w:val="20"/>
          <w:u w:val="single"/>
        </w:rPr>
        <w:t>Company</w:t>
      </w:r>
      <w:r>
        <w:rPr>
          <w:rFonts w:ascii="Times New Roman" w:hAnsi="Times New Roman"/>
          <w:color w:val="000000"/>
          <w:sz w:val="20"/>
        </w:rPr>
        <w:t>”</w:t>
      </w:r>
      <w:r>
        <w:rPr>
          <w:rFonts w:ascii="Times New Roman" w:hAnsi="Times New Roman"/>
          <w:b w:val="false"/>
          <w:color w:val="000000"/>
          <w:sz w:val="20"/>
        </w:rPr>
        <w:t>) for the quarter ended September 30, 2023, as filed with the Securities and Exchange Commission on the date hereof (the “</w:t>
      </w:r>
      <w:r>
        <w:rPr>
          <w:rFonts w:ascii="Times New Roman" w:hAnsi="Times New Roman"/>
          <w:b w:val="false"/>
          <w:color w:val="000000"/>
          <w:sz w:val="20"/>
          <w:u w:val="single"/>
        </w:rPr>
        <w:t>Report</w:t>
      </w:r>
      <w:r>
        <w:rPr>
          <w:rFonts w:ascii="Times New Roman" w:hAnsi="Times New Roman"/>
          <w:color w:val="000000"/>
          <w:sz w:val="20"/>
        </w:rPr>
        <w:t>”</w:t>
      </w:r>
      <w:r>
        <w:rPr>
          <w:rFonts w:ascii="Times New Roman" w:hAnsi="Times New Roman"/>
          <w:b w:val="false"/>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Dated: November 7, 2023</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Bill Roeschlein</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161"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1_tigoenergy.htm" TargetMode="External"/><Relationship Id="rId4" Type="http://schemas.openxmlformats.org/officeDocument/2006/relationships/hyperlink" Target="https://www.sec.gov/Archives/edgar/data/1855447/000121390023044099/ea179362ex3-2_tigoenergy.htm" TargetMode="External"/><Relationship Id="rId5" Type="http://schemas.openxmlformats.org/officeDocument/2006/relationships/hyperlink" Target="https://www.sec.gov/Archives/edgar/data/1855447/000121390023044099/ea179362ex3-2_tigoenerg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56550</Words>
  <Characters>310591</Characters>
  <CharactersWithSpaces>368294</CharactersWithSpaces>
  <Paragraphs>8740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