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165-8k_tigo.htm"/>
      <w:bookmarkStart w:id="1" w:name="ksea02891658k_tig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505__20"/>
      <w:bookmarkEnd w:id="2"/>
      <w:r>
        <w:rPr>
          <w:rFonts w:ascii="Times New Roman;Times;Serif" w:hAnsi="Times New Roman;Times;Serif"/>
          <w:b/>
          <w:i w:val="false"/>
          <w:caps w:val="false"/>
          <w:smallCaps w:val="false"/>
          <w:sz w:val="20"/>
        </w:rPr>
        <w:t>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May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xdx_901_edei--EntityRegistrantName_c2026"/>
      <w:bookmarkEnd w:id="4"/>
      <w:r>
        <w:rPr>
          <w:rFonts w:ascii="Times New Roman;Times;Serif" w:hAnsi="Times New Roman;Times;Serif"/>
          <w:b/>
          <w:i w:val="false"/>
          <w:caps/>
          <w:sz w:val="20"/>
        </w:rPr>
        <w:t>Tigo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E_edei--EntityFileNumber_c20260505"/>
            <w:bookmarkEnd w:id="6"/>
            <w:r>
              <w:rPr>
                <w:b/>
                <w:sz w:val="20"/>
              </w:rPr>
              <w:t>001-40710</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b/>
                <w:sz w:val="20"/>
              </w:rPr>
            </w:pPr>
            <w:bookmarkStart w:id="7" w:name="xdx_90D_edei--EntityTaxIdentificationNum"/>
            <w:bookmarkEnd w:id="7"/>
            <w:r>
              <w:rPr>
                <w:b/>
                <w:sz w:val="20"/>
              </w:rPr>
              <w:t>83-3583873</w:t>
            </w:r>
          </w:p>
        </w:tc>
      </w:tr>
      <w:tr>
        <w:trPr/>
        <w:tc>
          <w:tcPr>
            <w:tcW w:w="2165" w:type="dxa"/>
            <w:tcBorders>
              <w:top w:val="single" w:sz="12" w:space="0" w:color="000000"/>
            </w:tcBorders>
            <w:tcMar>
              <w:top w:w="28"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2210" w:type="dxa"/>
            <w:tcBorders>
              <w:top w:val="single" w:sz="12" w:space="0" w:color="000000"/>
            </w:tcBorders>
            <w:tcMar>
              <w:top w:w="28" w:type="dxa"/>
            </w:tcMar>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1535" w:type="dxa"/>
            <w:tcBorders>
              <w:top w:val="single" w:sz="12" w:space="0" w:color="000000"/>
            </w:tcBorders>
            <w:tcMar>
              <w:top w:w="28"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60"/>
        <w:gridCol w:w="60"/>
        <w:gridCol w:w="920"/>
      </w:tblGrid>
      <w:tr>
        <w:trPr/>
        <w:tc>
          <w:tcPr>
            <w:tcW w:w="3260" w:type="dxa"/>
            <w:tcBorders/>
            <w:vAlign w:val="center"/>
          </w:tcPr>
          <w:p>
            <w:pPr>
              <w:pStyle w:val="TableContents"/>
              <w:bidi w:val="0"/>
              <w:spacing w:before="0" w:after="283"/>
              <w:jc w:val="center"/>
              <w:rPr/>
            </w:pPr>
            <w:bookmarkStart w:id="8" w:name="xdx_909_edei--EntityAddressAddressLine1_"/>
            <w:bookmarkEnd w:id="8"/>
            <w:r>
              <w:rPr>
                <w:b/>
              </w:rPr>
              <w:t xml:space="preserve">983 University Avenue, </w:t>
            </w:r>
            <w:bookmarkStart w:id="9" w:name="xdx_902_edei--EntityAddressAddressLine2_"/>
            <w:bookmarkEnd w:id="9"/>
            <w:r>
              <w:rPr>
                <w:b/>
              </w:rPr>
              <w:t>Suite B,</w:t>
              <w:br/>
            </w:r>
            <w:bookmarkStart w:id="10" w:name="xdx_901_edei--EntityAddressCityOrTown_c2"/>
            <w:bookmarkEnd w:id="10"/>
            <w:r>
              <w:rPr>
                <w:b/>
              </w:rPr>
              <w:t xml:space="preserve">Los Gatos, </w:t>
            </w:r>
            <w:bookmarkStart w:id="11" w:name="xdx_908_edei--EntityAddressStateOrProvin"/>
            <w:bookmarkEnd w:id="11"/>
            <w:r>
              <w:rPr>
                <w:b/>
              </w:rPr>
              <w:t xml:space="preserve">California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b/>
                <w:sz w:val="20"/>
              </w:rPr>
            </w:pPr>
            <w:bookmarkStart w:id="12" w:name="xdx_90A_edei--EntityAddressPostalZipCode"/>
            <w:bookmarkEnd w:id="12"/>
            <w:r>
              <w:rPr>
                <w:b/>
                <w:sz w:val="20"/>
              </w:rPr>
              <w:t>95032</w:t>
            </w:r>
          </w:p>
        </w:tc>
      </w:tr>
      <w:tr>
        <w:trPr/>
        <w:tc>
          <w:tcPr>
            <w:tcW w:w="3260" w:type="dxa"/>
            <w:tcBorders>
              <w:top w:val="single" w:sz="12"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top w:val="single" w:sz="12"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505__20"/>
      <w:bookmarkEnd w:id="13"/>
      <w:r>
        <w:rPr>
          <w:rFonts w:ascii="Times New Roman;Times;Serif" w:hAnsi="Times New Roman;Times;Serif"/>
          <w:b/>
          <w:i w:val="false"/>
          <w:caps w:val="false"/>
          <w:smallCaps w:val="false"/>
          <w:sz w:val="20"/>
        </w:rPr>
        <w:t xml:space="preserve">408) </w:t>
      </w:r>
      <w:bookmarkStart w:id="14" w:name="xdx_907_edei--LocalPhoneNumber_c20260505"/>
      <w:bookmarkEnd w:id="14"/>
      <w:r>
        <w:rPr>
          <w:rFonts w:ascii="Times New Roman;Times;Serif" w:hAnsi="Times New Roman;Times;Serif"/>
          <w:b/>
          <w:i w:val="false"/>
          <w:caps w:val="false"/>
          <w:smallCaps w:val="false"/>
          <w:sz w:val="20"/>
        </w:rPr>
        <w:t>402-0802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3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7220" w:type="dxa"/>
            <w:tcBorders/>
            <w:vAlign w:val="center"/>
          </w:tcPr>
          <w:p>
            <w:pPr>
              <w:pStyle w:val="TableContents"/>
              <w:bidi w:val="0"/>
              <w:spacing w:before="0" w:after="283"/>
              <w:jc w:val="both"/>
              <w:rPr>
                <w:sz w:val="20"/>
              </w:rPr>
            </w:pPr>
            <w:r>
              <w:rPr>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SolicitingMaterial_c202605"/>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3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080" w:type="dxa"/>
            <w:tcBorders/>
            <w:vAlign w:val="center"/>
          </w:tcPr>
          <w:p>
            <w:pPr>
              <w:pStyle w:val="TableContents"/>
              <w:bidi w:val="0"/>
              <w:spacing w:before="0" w:after="283"/>
              <w:jc w:val="both"/>
              <w:rPr>
                <w:sz w:val="20"/>
              </w:rPr>
            </w:pPr>
            <w:r>
              <w:rPr>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785"/>
        <w:gridCol w:w="60"/>
        <w:gridCol w:w="1490"/>
        <w:gridCol w:w="60"/>
        <w:gridCol w:w="3710"/>
      </w:tblGrid>
      <w:tr>
        <w:trPr/>
        <w:tc>
          <w:tcPr>
            <w:tcW w:w="3785" w:type="dxa"/>
            <w:tcBorders/>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785" w:type="dxa"/>
            <w:tcBorders>
              <w:top w:val="single" w:sz="12" w:space="0" w:color="000000"/>
            </w:tcBorders>
            <w:shd w:fill="CCEEFF" w:val="clear"/>
            <w:tcMar>
              <w:top w:w="28" w:type="dxa"/>
            </w:tcMar>
            <w:vAlign w:val="center"/>
          </w:tcPr>
          <w:p>
            <w:pPr>
              <w:pStyle w:val="TableContents"/>
              <w:bidi w:val="0"/>
              <w:spacing w:before="0" w:after="283"/>
              <w:jc w:val="center"/>
              <w:rPr>
                <w:b/>
                <w:sz w:val="20"/>
              </w:rPr>
            </w:pPr>
            <w:bookmarkStart w:id="19" w:name="xdx_907_edei--Security12bTitle_c20260505"/>
            <w:bookmarkEnd w:id="19"/>
            <w:r>
              <w:rPr>
                <w:b/>
                <w:sz w:val="20"/>
              </w:rPr>
              <w:t>Common Stock, par value $0.0001 per share</w:t>
            </w:r>
          </w:p>
        </w:tc>
        <w:tc>
          <w:tcPr>
            <w:tcW w:w="60" w:type="dxa"/>
            <w:tcBorders/>
            <w:shd w:fill="CCEEFF" w:val="clear"/>
            <w:vAlign w:val="center"/>
          </w:tcPr>
          <w:p>
            <w:pPr>
              <w:pStyle w:val="TableContents"/>
              <w:bidi w:val="0"/>
              <w:spacing w:before="0" w:after="283"/>
              <w:jc w:val="left"/>
              <w:rPr/>
            </w:pPr>
            <w:r>
              <w:rPr/>
              <w:t> </w:t>
            </w:r>
          </w:p>
        </w:tc>
        <w:tc>
          <w:tcPr>
            <w:tcW w:w="1490" w:type="dxa"/>
            <w:tcBorders>
              <w:top w:val="single" w:sz="12" w:space="0" w:color="000000"/>
            </w:tcBorders>
            <w:shd w:fill="CCEEFF" w:val="clear"/>
            <w:tcMar>
              <w:top w:w="28" w:type="dxa"/>
            </w:tcMar>
            <w:vAlign w:val="center"/>
          </w:tcPr>
          <w:p>
            <w:pPr>
              <w:pStyle w:val="TableContents"/>
              <w:bidi w:val="0"/>
              <w:spacing w:before="0" w:after="283"/>
              <w:jc w:val="center"/>
              <w:rPr>
                <w:b/>
                <w:sz w:val="20"/>
              </w:rPr>
            </w:pPr>
            <w:bookmarkStart w:id="20" w:name="xdx_905_edei--TradingSymbol_c20260505__2"/>
            <w:bookmarkEnd w:id="20"/>
            <w:r>
              <w:rPr>
                <w:b/>
                <w:sz w:val="20"/>
              </w:rPr>
              <w:t>TYGO</w:t>
            </w:r>
          </w:p>
        </w:tc>
        <w:tc>
          <w:tcPr>
            <w:tcW w:w="60" w:type="dxa"/>
            <w:tcBorders/>
            <w:shd w:fill="CCEEFF" w:val="clear"/>
            <w:vAlign w:val="center"/>
          </w:tcPr>
          <w:p>
            <w:pPr>
              <w:pStyle w:val="TableContents"/>
              <w:bidi w:val="0"/>
              <w:spacing w:before="0" w:after="283"/>
              <w:jc w:val="left"/>
              <w:rPr/>
            </w:pPr>
            <w:r>
              <w:rPr/>
              <w:t> </w:t>
            </w:r>
          </w:p>
        </w:tc>
        <w:tc>
          <w:tcPr>
            <w:tcW w:w="3710" w:type="dxa"/>
            <w:tcBorders>
              <w:top w:val="single" w:sz="12" w:space="0" w:color="000000"/>
            </w:tcBorders>
            <w:shd w:fill="CCEEFF" w:val="clear"/>
            <w:tcMar>
              <w:top w:w="28" w:type="dxa"/>
            </w:tcMar>
            <w:vAlign w:val="center"/>
          </w:tcPr>
          <w:p>
            <w:pPr>
              <w:pStyle w:val="TableContents"/>
              <w:bidi w:val="0"/>
              <w:spacing w:before="0" w:after="283"/>
              <w:jc w:val="center"/>
              <w:rPr>
                <w:b/>
                <w:sz w:val="20"/>
              </w:rPr>
            </w:pPr>
            <w:r>
              <w:rPr>
                <w:b/>
                <w:sz w:val="20"/>
              </w:rPr>
              <w:t xml:space="preserve">The </w:t>
            </w:r>
            <w:bookmarkStart w:id="21" w:name="xdx_903_edei--SecurityExchangeName_c2026"/>
            <w:bookmarkEnd w:id="21"/>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8_edei--EntityExTransitionPeriod_c"/>
      <w:bookmarkEnd w:id="23"/>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Tigo Energy, Inc. (the “Company”) reported its earnings for its first fiscal quarter ended March 31, 2026. A copy of the Company’s press release containing this information is furnished as Exhibit 99.1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 99.1, is being furnished and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making reference to non-GAAP financial measures in the press release. A reconciliation of these non-GAAP financial measures to the comparable GAAP financial measures is contained in the attached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360" w:right="0" w:hanging="36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both"/>
              <w:rPr/>
            </w:pPr>
            <w:hyperlink w:anchor="ea028916501ex99-1.htm">
              <w:r>
                <w:rPr>
                  <w:rStyle w:val="InternetLink"/>
                  <w:sz w:val="20"/>
                </w:rPr>
                <w:t>Press Release dated May 5, 2026.</w:t>
              </w:r>
            </w:hyperlink>
          </w:p>
        </w:tc>
      </w:tr>
      <w:tr>
        <w:trPr/>
        <w:tc>
          <w:tcPr>
            <w:tcW w:w="725"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5, 2026</w:t>
      </w:r>
    </w:p>
    <w:tbl>
      <w:tblPr>
        <w:tblW w:w="2620" w:type="dxa"/>
        <w:jc w:val="left"/>
        <w:tblInd w:w="0" w:type="dxa"/>
        <w:tblLayout w:type="fixed"/>
        <w:tblCellMar>
          <w:top w:w="0" w:type="dxa"/>
          <w:left w:w="0" w:type="dxa"/>
          <w:bottom w:w="0" w:type="dxa"/>
          <w:right w:w="0" w:type="dxa"/>
        </w:tblCellMar>
      </w:tblPr>
      <w:tblGrid>
        <w:gridCol w:w="75"/>
        <w:gridCol w:w="650"/>
        <w:gridCol w:w="189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b/>
                <w:sz w:val="20"/>
              </w:rPr>
            </w:pPr>
            <w:r>
              <w:rPr>
                <w:b/>
                <w:sz w:val="20"/>
              </w:rPr>
              <w:t>TIGO ENERGY, INC.</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Bill Roeschlein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95" w:type="dxa"/>
            <w:tcBorders/>
            <w:vAlign w:val="center"/>
          </w:tcPr>
          <w:p>
            <w:pPr>
              <w:pStyle w:val="TableContents"/>
              <w:bidi w:val="0"/>
              <w:spacing w:before="0" w:after="283"/>
              <w:jc w:val="left"/>
              <w:rPr>
                <w:sz w:val="20"/>
              </w:rPr>
            </w:pPr>
            <w:r>
              <w:rPr>
                <w:sz w:val="20"/>
              </w:rPr>
              <w:t>Bill Roeschlein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8916501ex99-1.htm"/>
      <w:bookmarkStart w:id="25" w:name="ksea0289165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Reports 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 GATOS, Calif. – May 5, 2026 – </w:t>
      </w:r>
      <w:r>
        <w:rPr>
          <w:rFonts w:ascii="Times New Roman;Times;Serif" w:hAnsi="Times New Roman;Times;Serif"/>
          <w:b/>
          <w:i w:val="false"/>
          <w:caps w:val="false"/>
          <w:smallCaps w:val="false"/>
          <w:sz w:val="20"/>
          <w:shd w:fill="FEFEFE" w:val="clear"/>
        </w:rPr>
        <w:t>Tigo Energy,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(NASDAQ: TYGO) (“Tigo”, or the “Company”),</w:t>
      </w:r>
      <w:r>
        <w:rPr>
          <w:rFonts w:ascii="Times New Roman;Times;Serif" w:hAnsi="Times New Roman;Times;Serif"/>
          <w:b w:val="false"/>
          <w:i w:val="false"/>
          <w:caps w:val="false"/>
          <w:smallCaps w:val="false"/>
          <w:sz w:val="20"/>
        </w:rPr>
        <w:t xml:space="preserve"> a leading provider of intelligent solar and energy solutions, today reported unaudited financial results for the first quarter ended March 31, 2026, financial guidance for the second quarter ending June 30, 2026, and full year 2026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Recent Financial and Operational Highlights</w:t>
      </w:r>
    </w:p>
    <w:p>
      <w:pPr>
        <w:pStyle w:val="TextBody"/>
        <w:bidi w:val="0"/>
        <w:spacing w:before="0" w:after="0"/>
        <w:ind w:left="0" w:right="0" w:hanging="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for the first quarter of 2026 of $25.2 million, up 33.7% compared to the first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GAAP Net loss for the first quarter of 2026 of $1.8 million, compared to a net loss of $7.0 million in the first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for the first quarter of 2026 of $0.5 million compared to an adjusted EBITDA loss of $2.0 million in the first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During the first quarter of 2026, we shipped 615 thousand units, or 468 MW, of Module Level Power Electronics (“MLPE”).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Introduced the GO battery for the European market featuring scalability up to 47.9 KwH and integrated heating for cold weather operation.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EFEFE" w:val="clear"/>
        </w:rPr>
      </w:pPr>
      <w:r>
        <w:rPr>
          <w:caps w:val="false"/>
          <w:smallCaps w:val="false"/>
          <w:shd w:fill="FEFEFE" w:val="clear"/>
        </w:rPr>
        <w:t>“</w:t>
      </w:r>
      <w:r>
        <w:rPr>
          <w:rFonts w:ascii="Times New Roman;Times;Serif" w:hAnsi="Times New Roman;Times;Serif"/>
          <w:b w:val="false"/>
          <w:i w:val="false"/>
          <w:caps w:val="false"/>
          <w:smallCaps w:val="false"/>
          <w:sz w:val="20"/>
          <w:shd w:fill="FEFEFE" w:val="clear"/>
        </w:rPr>
        <w:t>Despite the typical weather-related seasonality in our end markets, we delivered a strong start to the year, with first quarter revenue increasing 33.7% year-over-year,” said Zvi Alon, Chairman and CEO of Tigo. “Importantly, the continued predictability of our business reinforces our confidence in sustained growth through the remainder of the year, and we expect to maintain our competitive outperformance.”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EFEFE" w:val="clear"/>
        </w:rPr>
      </w:pPr>
      <w:r>
        <w:rPr>
          <w:caps w:val="false"/>
          <w:smallCaps w:val="false"/>
          <w:shd w:fill="FEFEFE" w:val="clear"/>
        </w:rPr>
        <w:t>“</w:t>
      </w:r>
      <w:r>
        <w:rPr>
          <w:rFonts w:ascii="Times New Roman;Times;Serif" w:hAnsi="Times New Roman;Times;Serif"/>
          <w:b w:val="false"/>
          <w:i w:val="false"/>
          <w:caps w:val="false"/>
          <w:smallCaps w:val="false"/>
          <w:sz w:val="20"/>
          <w:shd w:fill="FEFEFE" w:val="clear"/>
        </w:rPr>
        <w:t>In the first quarter, we saw seasonally stronger performance on a year over year basis from several countries in the EMEA region, comprising 69.5% of our revenue. Within the Americas region, which comprised 20.9% of our revenue, we saw higher performance on a year over year basis, but lower results sequentially as buyers accelerated purchases late last year ahead of the expiration of residential clean energy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EFEFE" w:val="clear"/>
        </w:rPr>
      </w:pPr>
      <w:r>
        <w:rPr>
          <w:caps w:val="false"/>
          <w:smallCaps w:val="false"/>
          <w:shd w:fill="FEFEFE" w:val="clear"/>
        </w:rPr>
        <w:t>“</w:t>
      </w:r>
      <w:r>
        <w:rPr>
          <w:rFonts w:ascii="Times New Roman;Times;Serif" w:hAnsi="Times New Roman;Times;Serif"/>
          <w:b w:val="false"/>
          <w:i w:val="false"/>
          <w:caps w:val="false"/>
          <w:smallCaps w:val="false"/>
          <w:sz w:val="20"/>
          <w:shd w:fill="FEFEFE" w:val="clear"/>
        </w:rPr>
        <w:t>By closing a registered direct offering with gross proceeds of approximately $15.0 million during the quarter, we have further strengthened our balance sheet with zero debt after retiring the $50.0 million convertible note in December of last year,” stated Bill Roeschlein, Chief Financial Officer of Tigo. “Consistent with our growth trajectory, we continue to expect accelerated, profitable growth on an adjusted EBITDA and non-GAAP net income basis in Q2 of 2026 and into the second of half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Results compare the 2026 fiscal first quarter ended March 31, 2026 to the 2025 fiscal first quarter ended March 31, 2025, unless otherwise indicated.</w:t>
      </w:r>
    </w:p>
    <w:p>
      <w:pPr>
        <w:pStyle w:val="TextBody"/>
        <w:bidi w:val="0"/>
        <w:spacing w:before="0" w:after="0"/>
        <w:ind w:left="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Revenues totaled $25.2 million, compared to $18.8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EFEFE" w:val="clear"/>
              </w:rPr>
            </w:pPr>
            <w:r>
              <w:rPr>
                <w:shd w:fill="FEFEFE" w:val="clear"/>
              </w:rPr>
              <w:t>●</w:t>
            </w:r>
          </w:p>
        </w:tc>
        <w:tc>
          <w:tcPr>
            <w:tcW w:w="9997"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Gross profit totaled $10.8 million, or 42.8% of net revenue, compared to gross profit of $7.2 million, or 38.1% of net revenue.</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EFEFE" w:val="clear"/>
              </w:rPr>
            </w:pPr>
            <w:r>
              <w:rPr>
                <w:shd w:fill="FEFEFE" w:val="clear"/>
              </w:rPr>
              <w:t>●</w:t>
            </w:r>
          </w:p>
        </w:tc>
        <w:tc>
          <w:tcPr>
            <w:tcW w:w="6575"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Operating expenses totaled $13.2 million, compared to $11.2 million.</w:t>
            </w:r>
          </w:p>
        </w:tc>
      </w:tr>
    </w:tbl>
    <w:p>
      <w:pPr>
        <w:pStyle w:val="TextBody"/>
        <w:bidi w:val="0"/>
        <w:spacing w:before="0" w:after="283"/>
        <w:jc w:val="left"/>
        <w:rPr/>
      </w:pPr>
      <w:r>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EFEFE" w:val="clear"/>
              </w:rPr>
            </w:pPr>
            <w:r>
              <w:rPr>
                <w:shd w:fill="FEFEFE" w:val="clear"/>
              </w:rPr>
              <w:t>●</w:t>
            </w:r>
          </w:p>
        </w:tc>
        <w:tc>
          <w:tcPr>
            <w:tcW w:w="7160"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GAAP Net loss totaled $1.8 million, compared to a net loss of $7.0 million.</w:t>
            </w:r>
          </w:p>
        </w:tc>
      </w:tr>
    </w:tbl>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120" w:after="240"/>
        <w:jc w:val="left"/>
        <w:rPr/>
      </w:pPr>
      <w:r>
        <w:rPr/>
        <w:t> </w:t>
      </w:r>
    </w:p>
    <w:p>
      <w:pPr>
        <w:pStyle w:val="TextBody"/>
        <w:bidi w:val="0"/>
        <w:jc w:val="center"/>
        <w:rPr/>
      </w:pPr>
      <w:r>
        <w:rPr/>
        <w:t> </w:t>
      </w:r>
    </w:p>
    <w:p>
      <w:pPr>
        <w:pStyle w:val="TextBody"/>
        <w:bidi w:val="0"/>
        <w:jc w:val="left"/>
        <w:rPr/>
      </w:pPr>
      <w:r>
        <w:rPr/>
        <w:drawing>
          <wp:inline distT="0" distB="0" distL="0" distR="0">
            <wp:extent cx="11715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71575" cy="504825"/>
                    </a:xfrm>
                    <a:prstGeom prst="rect">
                      <a:avLst/>
                    </a:prstGeom>
                  </pic:spPr>
                </pic:pic>
              </a:graphicData>
            </a:graphic>
          </wp:inline>
        </w:drawing>
      </w:r>
    </w:p>
    <w:p>
      <w:pPr>
        <w:pStyle w:val="TextBody"/>
        <w:bidi w:val="0"/>
        <w:jc w:val="center"/>
        <w:rPr/>
      </w:pPr>
      <w:r>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EFEFE" w:val="clear"/>
              </w:rPr>
            </w:pPr>
            <w:r>
              <w:rPr>
                <w:shd w:fill="FEFEFE" w:val="clear"/>
              </w:rPr>
              <w:t>●</w:t>
            </w:r>
          </w:p>
        </w:tc>
        <w:tc>
          <w:tcPr>
            <w:tcW w:w="8885" w:type="dxa"/>
            <w:tcBorders/>
            <w:vAlign w:val="center"/>
          </w:tcPr>
          <w:p>
            <w:pPr>
              <w:pStyle w:val="TableContents"/>
              <w:bidi w:val="0"/>
              <w:spacing w:before="0" w:after="283"/>
              <w:jc w:val="both"/>
              <w:rPr>
                <w:rFonts w:ascii="Times New Roman;Times;Serif" w:hAnsi="Times New Roman;Times;Serif"/>
                <w:shd w:fill="FEFEFE" w:val="clear"/>
              </w:rPr>
            </w:pPr>
            <w:r>
              <w:rPr>
                <w:rFonts w:ascii="Times New Roman;Times;Serif" w:hAnsi="Times New Roman;Times;Serif"/>
                <w:shd w:fill="FEFEFE" w:val="clear"/>
              </w:rPr>
              <w:t>Non-GAAP Net loss totaled $0.1 million, compared to a non-GAAP Net loss of $5.4 million.</w:t>
            </w:r>
          </w:p>
        </w:tc>
      </w:tr>
    </w:tbl>
    <w:p>
      <w:pPr>
        <w:pStyle w:val="TextBody"/>
        <w:bidi w:val="0"/>
        <w:spacing w:before="0" w:after="283"/>
        <w:jc w:val="left"/>
        <w:rPr/>
      </w:pPr>
      <w:r>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EFEFE" w:val="clear"/>
              </w:rPr>
            </w:pPr>
            <w:r>
              <w:rPr>
                <w:shd w:fill="FEFEFE" w:val="clear"/>
              </w:rPr>
              <w:t>●</w:t>
            </w:r>
          </w:p>
        </w:tc>
        <w:tc>
          <w:tcPr>
            <w:tcW w:w="9470" w:type="dxa"/>
            <w:tcBorders/>
            <w:vAlign w:val="center"/>
          </w:tcPr>
          <w:p>
            <w:pPr>
              <w:pStyle w:val="TableContents"/>
              <w:bidi w:val="0"/>
              <w:spacing w:before="0" w:after="283"/>
              <w:jc w:val="both"/>
              <w:rPr/>
            </w:pPr>
            <w:r>
              <w:rPr>
                <w:rFonts w:ascii="Times New Roman;Times;Serif" w:hAnsi="Times New Roman;Times;Serif"/>
                <w:shd w:fill="FEFEFE" w:val="clear"/>
              </w:rPr>
              <w:t xml:space="preserve">Adjusted </w:t>
            </w:r>
            <w:r>
              <w:rPr>
                <w:rFonts w:ascii="Times New Roman;Times;Serif" w:hAnsi="Times New Roman;Times;Serif"/>
                <w:shd w:fill="FFFFFF" w:val="clear"/>
              </w:rPr>
              <w:t xml:space="preserve">EBITDA loss </w:t>
            </w:r>
            <w:r>
              <w:rPr>
                <w:rFonts w:ascii="Times New Roman;Times;Serif" w:hAnsi="Times New Roman;Times;Serif"/>
                <w:shd w:fill="FEFEFE" w:val="clear"/>
              </w:rPr>
              <w:t>totaled $0.5 million, compared to an adjusted EBITDA loss of $2.0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Second Quarter 2026 Financial Guidance and Confirms Full Year 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guidance for the second quarter ending June 30, 2026 as follows:</w:t>
      </w:r>
    </w:p>
    <w:p>
      <w:pPr>
        <w:pStyle w:val="TextBody"/>
        <w:bidi w:val="0"/>
        <w:spacing w:before="0" w:after="0"/>
        <w:ind w:left="0" w:right="0" w:hanging="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Revenues are expected to be within the range of $30.0 million to $32.0 million.</w:t>
            </w:r>
          </w:p>
        </w:tc>
      </w:tr>
    </w:tbl>
    <w:p>
      <w:pPr>
        <w:pStyle w:val="TextBody"/>
        <w:bidi w:val="0"/>
        <w:spacing w:before="0" w:after="283"/>
        <w:jc w:val="left"/>
        <w:rPr/>
      </w:pPr>
      <w:r>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is expected to be within the range of $1.0 million to $3.0 million.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2026, the Company continues to anticipate revenues to be between $130.0 million and $135.0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Actual results may differ materially from the Company’s guidance as a result of, among other things, the factors described below under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Tigo management will hold a conference call today, May 5, 2026, at 4:30 p.m. Eastern Time (1:30 p.m. Pacific Time) to discuss these results. Company CEO Zvi Alon and CFO Bill Roeschlein will host the call, followed by a question-and-answer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Registration Link Conference Call: </w:t>
      </w:r>
      <w:r>
        <w:rPr>
          <w:rFonts w:ascii="Times New Roman;Times;Serif" w:hAnsi="Times New Roman;Times;Serif"/>
          <w:b w:val="false"/>
          <w:i w:val="false"/>
          <w:caps w:val="false"/>
          <w:smallCaps w:val="false"/>
          <w:sz w:val="20"/>
        </w:rPr>
        <w:t>Click here to register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Link:</w:t>
      </w:r>
      <w:r>
        <w:rPr>
          <w:rFonts w:ascii="Times New Roman;Times;Serif" w:hAnsi="Times New Roman;Times;Serif"/>
          <w:b w:val="false"/>
          <w:i w:val="false"/>
          <w:caps w:val="false"/>
          <w:smallCaps w:val="false"/>
          <w:sz w:val="20"/>
        </w:rPr>
        <w:t xml:space="preserve"> Click here to join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online at least 10 minutes prior to the start time. If you have any difficulty with registration or connecting to the conference call, please contact Gateway Group at (949) 574-3860.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call will also be available for replay here and via the Investor Relations section of Tigo’s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Upcoming Investor Conference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LD Micro Invitational XVI</w:t>
      </w:r>
    </w:p>
    <w:p>
      <w:pPr>
        <w:pStyle w:val="TextBody"/>
        <w:bidi w:val="0"/>
        <w:spacing w:before="0" w:after="0"/>
        <w:ind w:left="0" w:right="0" w:hanging="0"/>
        <w:jc w:val="left"/>
        <w:rPr>
          <w:caps w:val="false"/>
          <w:smallCaps w:val="false"/>
          <w:shd w:fill="FEFEFE" w:val="clear"/>
        </w:rPr>
      </w:pPr>
      <w:r>
        <w:rPr>
          <w:caps w:val="false"/>
          <w:smallCaps w:val="false"/>
          <w:shd w:fill="FEFEFE"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Date: May 18-19, 2026</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Location: Luxe Sunset Blvd Hotel Los Angeles, 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BofA Securities 2026 Power, Utilities and Cleantech Conference</w:t>
      </w:r>
    </w:p>
    <w:p>
      <w:pPr>
        <w:pStyle w:val="TextBody"/>
        <w:bidi w:val="0"/>
        <w:spacing w:before="0" w:after="0"/>
        <w:ind w:left="0" w:right="0" w:hanging="0"/>
        <w:jc w:val="left"/>
        <w:rPr>
          <w:caps w:val="false"/>
          <w:smallCaps w:val="false"/>
          <w:shd w:fill="FEFEFE" w:val="clear"/>
        </w:rPr>
      </w:pPr>
      <w:r>
        <w:rPr>
          <w:caps w:val="false"/>
          <w:smallCaps w:val="false"/>
          <w:shd w:fill="FEFEFE"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May 27-28, 2026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Location: Bank of America at Two Bryant Park 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23rd Annual Craig-Hallum Institutional Investor Conference</w:t>
      </w:r>
    </w:p>
    <w:p>
      <w:pPr>
        <w:pStyle w:val="TextBody"/>
        <w:bidi w:val="0"/>
        <w:spacing w:before="0" w:after="0"/>
        <w:ind w:left="0" w:right="0" w:hanging="0"/>
        <w:jc w:val="left"/>
        <w:rPr>
          <w:caps w:val="false"/>
          <w:smallCaps w:val="false"/>
          <w:shd w:fill="FEFEFE" w:val="clear"/>
        </w:rPr>
      </w:pPr>
      <w:r>
        <w:rPr>
          <w:caps w:val="false"/>
          <w:smallCaps w:val="false"/>
          <w:shd w:fill="FEFEFE"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Date: May 28, 2026</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Location: Depot Renaissance Hotel Minneapolis, MN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120" w:after="24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7157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71575"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About Tigo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EFEFE" w:val="clear"/>
        </w:rPr>
        <w:t xml:space="preserve">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t>
      </w:r>
      <w:r>
        <w:rPr>
          <w:rFonts w:ascii="Times New Roman;Times;Serif" w:hAnsi="Times New Roman;Times;Serif"/>
          <w:b w:val="false"/>
          <w:i w:val="false"/>
          <w:caps w:val="false"/>
          <w:smallCaps w:val="false"/>
          <w:sz w:val="20"/>
        </w:rPr>
        <w:t>www.tigoenergy.com</w:t>
      </w:r>
      <w:r>
        <w:rPr>
          <w:rFonts w:ascii="Times New Roman;Times;Serif" w:hAnsi="Times New Roman;Times;Serif"/>
          <w:b w:val="false"/>
          <w:i w:val="false"/>
          <w:caps w:val="false"/>
          <w:smallCaps w:val="false"/>
          <w:sz w:val="20"/>
          <w:shd w:fill="FEFEFE" w:val="clear"/>
        </w:rPr>
        <w:t>.</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Private Securities Litigation Reform Act of 1995. Such statements include, but are not limited to, statements about our ability to increase our revenues and achieve and maintain profitability, our ability to achieve accelerated, profitable growth in the second fiscal quarter of 2026 and in the full fiscal year 2026, our overall long-term growth prospects, expectations regarding a continued recovery in our industry, statements about our revenue and adjusted EBITDA for the second fiscal quarter of 2026 and our revenue for the full fiscal year 2026, statements about demand for our products, our competitive position, the impact of tariffs, and our ability to penetrate new markets and expand our market share, including expansion in international markets, our continued expansion of and investments in our product portfolio, and future financial and operating results, our plans, objectives, expectations and intentions with respect to future operations, products and services; and other statements identified by words such as “will likely result,” “are expected to,” “will continue,” “will allow us to” “is anticipated,” “estimated,” “expected”, “believe,” “intend,” “plan,” “projection,” “outlook” or words of similar meaning. These forward-looking statements are based upon the current beliefs and expectations of Tigo’s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addition to factors previously disclosed, or that will be disclosed in, our reports filed with the SEC, factors which may cause actual results to differ materially from current expectations include, but are not limited to, our ability to effectively develop and sell our product offerings and services, our ability to compete in the highly-competitive and evolving solar industry; our ability to meet the continued listing requirements of Nasdaq, and the liquidity and trading of our securities; our ability to manage risks associated with U.S. and global geopolitical and macroeconomic conditions including the potential softening of the economy, seasonal trends and the cyclical nature of the solar industry, including any periods of prolonged downturn; whether we continue to grow our customer base and expand our market share; whether we continue to develop new products and innovations to meet constantly evolving customer demands; the timing and level of demand for our solar energy solutions; changes in and the availability of government subsidies and economic incentives, including tax incentives, for solar energy solutions; trade tariffs and other trade barriers that could directly affect us, our customers and the solar industry; our ability to forecast our customer demand and manufacturing requirements, and manage our inventory; our ability to acquire or make investments in other businesses, patents, technologies, products or services to grow the business and realize the anticipated benefits therefrom; our ability to respond to fluctuations in foreign currency exchange rates and political unrest and regulatory changes in the U.S. and international markets into which we expand or otherwise operate in; macroeconomic conditions in the markets in which we operate, as well as inflation, instability of financial institutions, rising interest rates and recessionary concerns; our failure to attract, hire retain and train highly qualified personnel in the future; and our ability to maintain key strategic relationships with our partners and distributors.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Actual results, performance or achievements may differ materially, and potentially adversely, from any projections and forward-looking statements and the assumptions on which those forward-looking statements are based. There can be no assurance that the forward-looking statements contained herein are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and we disclaim any intention or obligation to update any forward-looking statements as a result of new information, future developments or otherwise occurring after the date of this communication.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120" w:after="24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7157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71575"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EFEFE" w:val="clear"/>
        </w:rPr>
      </w:pPr>
      <w:r>
        <w:rPr>
          <w:rFonts w:ascii="Times New Roman;Times;Serif" w:hAnsi="Times New Roman;Times;Serif"/>
          <w:b/>
          <w:i/>
          <w:caps w:val="false"/>
          <w:smallCaps w:val="false"/>
          <w:sz w:val="20"/>
          <w:shd w:fill="FEFEFE" w:val="clear"/>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To supplement our condensed consolidated financial statements, which are prepared and presented in accordance with GAAP, we use the following non-GAAP financial measures: Non-GAAP Net Loss and adjusted EBITDA. The presentation of these financial measures is not intended to be considered in isolation or as a substitute for, or superior to, the financial information prepared and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We use adjusted EBITDA and non-GAAP net loss for financial and operational decision-making and as a means to evaluate period-to-period comparisons. We define adjusted EBITDA, a non-GAAP financial measure, as earnings (loss) before interest and other expenses, net, income tax expense (benefit), depreciation and amortization, as adjusted to exclude stock-based compensation and merger transaction related expenses. We define non-GAAP net loss as GAAP net income (loss) excluding stock-based compensation. We believe that adjusted EBITDA and non-GAAP net loss provide helpful supplemental information regarding our performance by excluding certain items that may not be indicative of our core business operating results. We believe that both management and investors benefit from referring to adjusted EBITDA and non-GAAP net loss in assessing our performance and when planning, forecasting, and analyzing future periods. Adjusted EBITDA and non-GAAP net loss also facilitate management’s internal comparisons to our historical performance and comparisons to our competitors’ operating results. We believe adjusted EBITDA and non-GAAP net loss are useful to investors both because they (i) allow for greater transparency with respect to key metrics used by management in its financial and operational decision-making and (ii) are used by our institutional investors and the analyst community to help them analyze the health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 xml:space="preserve">The items excluded from adjusted EBITDA and non-GAAP net loss may have a material impact on our financial results. Certain of those items are non-recurring, while others are non-cash in nature. Accordingly, adjusted EBITDA and non-GAAP net loss are presented as supplemental disclosure and should not be considered in isolation of, as a substitute for, or superior to, the financial information prepared in accordance with GAAP.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There are a number of limitations related to the use of non-GAAP financial measures. We compensate for these limitations by providing specific information regarding the GAAP amounts excluded from these non-GAAP financial measures and evaluating these non-GAAP financial measures together with their relevant financial measures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 xml:space="preserve">We refer investors to the reconciliation adjusted EBITDA to net loss and non-GAAP net loss to net loss included below. A reconciliation for adjusted EBITDA provided as guidance is not provided because, as a forward-looking statement, such reconciliation is not available without unreasonable effort due to the high variability, complexity, and difficulty of estimating certain items such as charges to stock-based compensation expense and currency fluctuations which could have an impact on our consolidated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Investor Relations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Ralf Esper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 Inc.</w:t>
        <w:br/>
        <w:t>(949) 574-3860</w:t>
        <w:br/>
        <w:t>TYGO@gateway-grp.com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120" w:after="24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7157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71575"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123" w:type="dxa"/>
        <w:jc w:val="left"/>
        <w:tblInd w:w="0" w:type="dxa"/>
        <w:tblLayout w:type="fixed"/>
        <w:tblCellMar>
          <w:top w:w="0" w:type="dxa"/>
          <w:left w:w="0" w:type="dxa"/>
          <w:bottom w:w="0" w:type="dxa"/>
          <w:right w:w="0" w:type="dxa"/>
        </w:tblCellMar>
      </w:tblPr>
      <w:tblGrid>
        <w:gridCol w:w="5315"/>
        <w:gridCol w:w="60"/>
        <w:gridCol w:w="147"/>
        <w:gridCol w:w="922"/>
        <w:gridCol w:w="95"/>
        <w:gridCol w:w="60"/>
        <w:gridCol w:w="194"/>
        <w:gridCol w:w="1220"/>
        <w:gridCol w:w="110"/>
      </w:tblGrid>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8123" w:type="dxa"/>
            <w:gridSpan w:val="9"/>
            <w:tcBorders/>
            <w:vAlign w:val="center"/>
          </w:tcPr>
          <w:p>
            <w:pPr>
              <w:pStyle w:val="TableContents"/>
              <w:bidi w:val="0"/>
              <w:spacing w:before="0" w:after="283"/>
              <w:jc w:val="center"/>
              <w:rPr>
                <w:b/>
              </w:rPr>
            </w:pPr>
            <w:r>
              <w:rPr>
                <w:b/>
              </w:rPr>
              <w:t>ASSETS</w:t>
            </w:r>
          </w:p>
        </w:tc>
      </w:tr>
      <w:tr>
        <w:trPr/>
        <w:tc>
          <w:tcPr>
            <w:tcW w:w="531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11,574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7,670</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13,895</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24,811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31,286</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4,562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5,148</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55,119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57,999</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2,652</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2,338</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1,652</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1,187</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12,209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12,209</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2" w:type="dxa"/>
            <w:tcBorders>
              <w:bottom w:val="double" w:sz="10" w:space="0" w:color="000000"/>
            </w:tcBorders>
            <w:shd w:fill="CCEEFF" w:val="clear"/>
            <w:tcMar>
              <w:bottom w:w="28" w:type="dxa"/>
            </w:tcMar>
            <w:vAlign w:val="center"/>
          </w:tcPr>
          <w:p>
            <w:pPr>
              <w:pStyle w:val="TableContents"/>
              <w:bidi w:val="0"/>
              <w:spacing w:before="0" w:after="283"/>
              <w:jc w:val="right"/>
              <w:rPr/>
            </w:pPr>
            <w:r>
              <w:rPr/>
              <w:t>74,852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78,037</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922" w:type="dxa"/>
            <w:tcBorders/>
            <w:shd w:fill="FFFFFF" w:val="clear"/>
            <w:vAlign w:val="center"/>
          </w:tcPr>
          <w:p>
            <w:pPr>
              <w:pStyle w:val="TableContents"/>
              <w:bidi w:val="0"/>
              <w:spacing w:before="0" w:after="283"/>
              <w:jc w:val="right"/>
              <w:rPr/>
            </w:pPr>
            <w:r>
              <w:rPr/>
              <w:t>14,092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29,196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7,129</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961</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Warranty liability, current portion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626</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856</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22,385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38,768</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Warranty liability, net of current portion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8,937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8,718</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860</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1,817</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34,006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50,414</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182,995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168,022</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(142,156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(140,406</w:t>
            </w:r>
          </w:p>
        </w:tc>
        <w:tc>
          <w:tcPr>
            <w:tcW w:w="110" w:type="dxa"/>
            <w:tcBorders/>
            <w:shd w:fill="FFFFFF" w:val="clear"/>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40,846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27,623</w:t>
            </w:r>
          </w:p>
        </w:tc>
        <w:tc>
          <w:tcPr>
            <w:tcW w:w="11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2" w:type="dxa"/>
            <w:tcBorders>
              <w:bottom w:val="double" w:sz="10" w:space="0" w:color="000000"/>
            </w:tcBorders>
            <w:shd w:fill="FFFFFF" w:val="clear"/>
            <w:tcMar>
              <w:bottom w:w="28" w:type="dxa"/>
            </w:tcMar>
            <w:vAlign w:val="center"/>
          </w:tcPr>
          <w:p>
            <w:pPr>
              <w:pStyle w:val="TableContents"/>
              <w:bidi w:val="0"/>
              <w:spacing w:before="0" w:after="283"/>
              <w:jc w:val="right"/>
              <w:rPr/>
            </w:pPr>
            <w:r>
              <w:rPr/>
              <w:t>74,852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78,037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120" w:after="24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250" w:type="dxa"/>
        <w:jc w:val="left"/>
        <w:tblInd w:w="0" w:type="dxa"/>
        <w:tblLayout w:type="fixed"/>
        <w:tblCellMar>
          <w:top w:w="0" w:type="dxa"/>
          <w:left w:w="0" w:type="dxa"/>
          <w:bottom w:w="0" w:type="dxa"/>
          <w:right w:w="0" w:type="dxa"/>
        </w:tblCellMar>
      </w:tblPr>
      <w:tblGrid>
        <w:gridCol w:w="4445"/>
        <w:gridCol w:w="60"/>
        <w:gridCol w:w="140"/>
        <w:gridCol w:w="1100"/>
        <w:gridCol w:w="95"/>
        <w:gridCol w:w="60"/>
        <w:gridCol w:w="140"/>
        <w:gridCol w:w="1100"/>
        <w:gridCol w:w="110"/>
      </w:tblGrid>
      <w:tr>
        <w:trPr/>
        <w:tc>
          <w:tcPr>
            <w:tcW w:w="4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18,839</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11,666</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7,173</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2,164</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3,916</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5,070</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11,150</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(3,977</w:t>
            </w:r>
          </w:p>
        </w:tc>
        <w:tc>
          <w:tcPr>
            <w:tcW w:w="110"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Other expenses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2,871</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w:t>
            </w:r>
          </w:p>
        </w:tc>
        <w:tc>
          <w:tcPr>
            <w:tcW w:w="110"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2,728</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Loss before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(6,705</w:t>
            </w:r>
          </w:p>
        </w:tc>
        <w:tc>
          <w:tcPr>
            <w:tcW w:w="110"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(7,001</w:t>
            </w:r>
          </w:p>
        </w:tc>
        <w:tc>
          <w:tcPr>
            <w:tcW w:w="110"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(0.11</w:t>
            </w:r>
          </w:p>
        </w:tc>
        <w:tc>
          <w:tcPr>
            <w:tcW w:w="110"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(0.11</w:t>
            </w:r>
          </w:p>
        </w:tc>
        <w:tc>
          <w:tcPr>
            <w:tcW w:w="110"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72,578,839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61,657,718</w:t>
            </w:r>
          </w:p>
        </w:tc>
        <w:tc>
          <w:tcPr>
            <w:tcW w:w="11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72,578,839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61,657,718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120" w:after="24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282" w:type="dxa"/>
        <w:jc w:val="left"/>
        <w:tblInd w:w="0" w:type="dxa"/>
        <w:tblLayout w:type="fixed"/>
        <w:tblCellMar>
          <w:top w:w="0" w:type="dxa"/>
          <w:left w:w="0" w:type="dxa"/>
          <w:bottom w:w="0" w:type="dxa"/>
          <w:right w:w="0" w:type="dxa"/>
        </w:tblCellMar>
      </w:tblPr>
      <w:tblGrid>
        <w:gridCol w:w="6905"/>
        <w:gridCol w:w="60"/>
        <w:gridCol w:w="165"/>
        <w:gridCol w:w="892"/>
        <w:gridCol w:w="112"/>
        <w:gridCol w:w="70"/>
        <w:gridCol w:w="165"/>
        <w:gridCol w:w="803"/>
        <w:gridCol w:w="110"/>
      </w:tblGrid>
      <w:tr>
        <w:trPr/>
        <w:tc>
          <w:tcPr>
            <w:tcW w:w="6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(1,750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(7,001</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327</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357</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Provision to write down inventories to net realizable value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107</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2,235</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1,608</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1,576</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Change in allowance for credit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956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(94</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202</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301</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Accretion of interest on marketable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(1,233</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(2,303</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6,368</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3,063</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526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1,303</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(15,035</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(847</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(1,486</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(477</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209</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Warranty liability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235</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1,526</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(219</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(329</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292</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(9,252</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(530</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Purchase of marketable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(7,957</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Sales and maturities of marketable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4,425</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(3,532</w:t>
            </w:r>
          </w:p>
        </w:tc>
        <w:tc>
          <w:tcPr>
            <w:tcW w:w="110" w:type="dxa"/>
            <w:tcBorders/>
            <w:shd w:fill="CCEEFF" w:val="clear"/>
            <w:vAlign w:val="center"/>
          </w:tcPr>
          <w:p>
            <w:pPr>
              <w:pStyle w:val="TableContents"/>
              <w:bidi w:val="0"/>
              <w:spacing w:before="0" w:after="283"/>
              <w:jc w:val="left"/>
              <w:rPr/>
            </w:pPr>
            <w:r>
              <w:rPr/>
              <w:t>)</w:t>
            </w:r>
          </w:p>
        </w:tc>
      </w:tr>
      <w:tr>
        <w:trPr/>
        <w:tc>
          <w:tcPr>
            <w:tcW w:w="690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103</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Proceeds from at-the-market offering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815</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Proceeds from registered direct offering</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14,250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Payment of offering costs related to registered direct offering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(208</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Payment of tax withholdings on restricted and performance stock awards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(750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Payment of tax withholdings on options exercised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pPr>
            <w:r>
              <w:rPr/>
              <w:t>(30</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13,365</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817</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3,904</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(3,245</w:t>
            </w:r>
          </w:p>
        </w:tc>
        <w:tc>
          <w:tcPr>
            <w:tcW w:w="110" w:type="dxa"/>
            <w:tcBorders/>
            <w:shd w:fill="FFFFFF" w:val="clear"/>
            <w:vAlign w:val="center"/>
          </w:tcPr>
          <w:p>
            <w:pPr>
              <w:pStyle w:val="TableContents"/>
              <w:bidi w:val="0"/>
              <w:spacing w:before="0" w:after="283"/>
              <w:jc w:val="left"/>
              <w:rPr/>
            </w:pPr>
            <w:r>
              <w:rPr/>
              <w:t>)</w:t>
            </w:r>
          </w:p>
        </w:tc>
      </w:tr>
      <w:tr>
        <w:trPr/>
        <w:tc>
          <w:tcPr>
            <w:tcW w:w="6905"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7,670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11,746</w:t>
            </w:r>
          </w:p>
        </w:tc>
        <w:tc>
          <w:tcPr>
            <w:tcW w:w="110"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FFFFFF" w:val="clear"/>
            <w:tcMar>
              <w:bottom w:w="28" w:type="dxa"/>
            </w:tcMar>
            <w:vAlign w:val="center"/>
          </w:tcPr>
          <w:p>
            <w:pPr>
              <w:pStyle w:val="TableContents"/>
              <w:bidi w:val="0"/>
              <w:spacing w:before="0" w:after="283"/>
              <w:jc w:val="right"/>
              <w:rPr/>
            </w:pPr>
            <w:r>
              <w:rPr/>
              <w:t>11,574</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shd w:fill="FFFFFF" w:val="clear"/>
            <w:tcMar>
              <w:bottom w:w="28" w:type="dxa"/>
            </w:tcMar>
            <w:vAlign w:val="center"/>
          </w:tcPr>
          <w:p>
            <w:pPr>
              <w:pStyle w:val="TableContents"/>
              <w:bidi w:val="0"/>
              <w:spacing w:before="0" w:after="283"/>
              <w:jc w:val="right"/>
              <w:rPr/>
            </w:pPr>
            <w:r>
              <w:rPr/>
              <w:t>8,501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120" w:after="24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71575"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7157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463" w:type="dxa"/>
        <w:jc w:val="left"/>
        <w:tblInd w:w="0" w:type="dxa"/>
        <w:tblLayout w:type="fixed"/>
        <w:tblCellMar>
          <w:top w:w="0" w:type="dxa"/>
          <w:left w:w="0" w:type="dxa"/>
          <w:bottom w:w="0" w:type="dxa"/>
          <w:right w:w="0" w:type="dxa"/>
        </w:tblCellMar>
      </w:tblPr>
      <w:tblGrid>
        <w:gridCol w:w="7085"/>
        <w:gridCol w:w="60"/>
        <w:gridCol w:w="181"/>
        <w:gridCol w:w="823"/>
        <w:gridCol w:w="123"/>
        <w:gridCol w:w="77"/>
        <w:gridCol w:w="181"/>
        <w:gridCol w:w="823"/>
        <w:gridCol w:w="110"/>
      </w:tblGrid>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7085" w:type="dxa"/>
            <w:tcBorders>
              <w:bottom w:val="single" w:sz="12" w:space="0" w:color="000000"/>
            </w:tcBorders>
            <w:tcMar>
              <w:bottom w:w="28" w:type="dxa"/>
            </w:tcMar>
            <w:vAlign w:val="center"/>
          </w:tcPr>
          <w:p>
            <w:pPr>
              <w:pStyle w:val="TableContents"/>
              <w:bidi w:val="0"/>
              <w:spacing w:before="0" w:after="283"/>
              <w:jc w:val="left"/>
              <w:rPr>
                <w:b/>
              </w:rPr>
            </w:pPr>
            <w:r>
              <w:rPr>
                <w:b/>
              </w:rPr>
              <w:t>Reconciliation of GAAP Net Loss to Adjusted EBITDA (Non-GAAP)</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(1,750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(7,001</w:t>
            </w:r>
          </w:p>
        </w:tc>
        <w:tc>
          <w:tcPr>
            <w:tcW w:w="110" w:type="dxa"/>
            <w:tcBorders/>
            <w:shd w:fill="CCEEFF"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Plus: Total other (income) expenses,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(496</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2,728</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Plus: Income tax (benefit)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(164</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Plus: Depreciation and amortization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327</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357</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Plus: 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1,608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1,576</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Adjusted EBITDA (loss) - (Non-GAAP)</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(475</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(2,044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8263" w:type="dxa"/>
        <w:jc w:val="left"/>
        <w:tblInd w:w="0" w:type="dxa"/>
        <w:tblLayout w:type="fixed"/>
        <w:tblCellMar>
          <w:top w:w="0" w:type="dxa"/>
          <w:left w:w="0" w:type="dxa"/>
          <w:bottom w:w="0" w:type="dxa"/>
          <w:right w:w="0" w:type="dxa"/>
        </w:tblCellMar>
      </w:tblPr>
      <w:tblGrid>
        <w:gridCol w:w="5885"/>
        <w:gridCol w:w="60"/>
        <w:gridCol w:w="181"/>
        <w:gridCol w:w="823"/>
        <w:gridCol w:w="123"/>
        <w:gridCol w:w="77"/>
        <w:gridCol w:w="181"/>
        <w:gridCol w:w="823"/>
        <w:gridCol w:w="110"/>
      </w:tblGrid>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5885" w:type="dxa"/>
            <w:tcBorders>
              <w:bottom w:val="single" w:sz="12" w:space="0" w:color="000000"/>
            </w:tcBorders>
            <w:tcMar>
              <w:bottom w:w="28" w:type="dxa"/>
            </w:tcMar>
            <w:vAlign w:val="center"/>
          </w:tcPr>
          <w:p>
            <w:pPr>
              <w:pStyle w:val="TableContents"/>
              <w:bidi w:val="0"/>
              <w:spacing w:before="0" w:after="283"/>
              <w:jc w:val="left"/>
              <w:rPr>
                <w:b/>
              </w:rPr>
            </w:pPr>
            <w:r>
              <w:rPr>
                <w:b/>
              </w:rPr>
              <w:t>Reconciliation of GAAP Net Loss to Non-GAAP Net Loss</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(1,750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(7,001</w:t>
            </w:r>
          </w:p>
        </w:tc>
        <w:tc>
          <w:tcPr>
            <w:tcW w:w="110" w:type="dxa"/>
            <w:tcBorders/>
            <w:shd w:fill="CCEEFF" w:val="clear"/>
            <w:vAlign w:val="center"/>
          </w:tcPr>
          <w:p>
            <w:pPr>
              <w:pStyle w:val="TableContents"/>
              <w:bidi w:val="0"/>
              <w:spacing w:before="0" w:after="283"/>
              <w:jc w:val="left"/>
              <w:rPr/>
            </w:pPr>
            <w:r>
              <w:rPr/>
              <w:t>)</w:t>
            </w:r>
          </w:p>
        </w:tc>
      </w:tr>
      <w:tr>
        <w:trPr/>
        <w:tc>
          <w:tcPr>
            <w:tcW w:w="5885" w:type="dxa"/>
            <w:tcBorders/>
            <w:shd w:fill="FFFFFF" w:val="clear"/>
            <w:vAlign w:val="center"/>
          </w:tcPr>
          <w:p>
            <w:pPr>
              <w:pStyle w:val="TableContents"/>
              <w:bidi w:val="0"/>
              <w:spacing w:before="0" w:after="283"/>
              <w:jc w:val="left"/>
              <w:rPr/>
            </w:pPr>
            <w:r>
              <w:rPr/>
              <w:t>Plus: 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1,608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1,576</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Non-GAAP 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(142</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(5,425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investors and others to review our financial information in its entirety and not to rely on any single financial measure.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3355</Words>
  <Characters>18757</Characters>
  <CharactersWithSpaces>22340</CharactersWithSpaces>
  <Paragraphs>1270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