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4583-s8_tigo.htm"/>
      <w:bookmarkStart w:id="1" w:name="ksea0304583s8_tigo"/>
      <w:bookmarkEnd w:id="0"/>
      <w:bookmarkEnd w:id="1"/>
      <w:r>
        <w:rPr>
          <w:rFonts w:ascii="Times New Roman;Times;Serif" w:hAnsi="Times New Roman;Times;Serif"/>
          <w:b/>
          <w:i w:val="false"/>
          <w:caps w:val="false"/>
          <w:smallCaps w:val="false"/>
          <w:sz w:val="20"/>
        </w:rPr>
        <w:t>As filed with the Securities and Exchange Commission on September 8,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S-8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970" w:type="dxa"/>
            <w:tcBorders>
              <w:bottom w:val="single" w:sz="12" w:space="0" w:color="000000"/>
            </w:tcBorders>
            <w:vAlign w:val="center"/>
          </w:tcPr>
          <w:p>
            <w:pPr>
              <w:pStyle w:val="TableContents"/>
              <w:bidi w:val="0"/>
              <w:spacing w:before="0" w:after="283"/>
              <w:jc w:val="center"/>
              <w:rPr>
                <w:b/>
                <w:sz w:val="20"/>
              </w:rPr>
            </w:pPr>
            <w:r>
              <w:rPr>
                <w:b/>
                <w:sz w:val="20"/>
              </w:rPr>
              <w:t>83-3583873</w:t>
            </w:r>
          </w:p>
        </w:tc>
      </w:tr>
      <w:tr>
        <w:trPr/>
        <w:tc>
          <w:tcPr>
            <w:tcW w:w="2660" w:type="dxa"/>
            <w:tcBorders/>
            <w:tcMar>
              <w:bottom w:w="0" w:type="dxa"/>
            </w:tcMar>
            <w:vAlign w:val="center"/>
          </w:tcPr>
          <w:p>
            <w:pPr>
              <w:pStyle w:val="TableContents"/>
              <w:bidi w:val="0"/>
              <w:spacing w:before="0" w:after="283"/>
              <w:jc w:val="center"/>
              <w:rPr>
                <w:b/>
                <w:sz w:val="20"/>
              </w:rPr>
            </w:pPr>
            <w:r>
              <w:rPr>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970" w:type="dxa"/>
            <w:tcBorders/>
            <w:tcMar>
              <w:bottom w:w="0" w:type="dxa"/>
            </w:tcMar>
            <w:vAlign w:val="center"/>
          </w:tcPr>
          <w:p>
            <w:pPr>
              <w:pStyle w:val="TableContents"/>
              <w:bidi w:val="0"/>
              <w:spacing w:before="0" w:after="283"/>
              <w:jc w:val="center"/>
              <w:rPr>
                <w:b/>
                <w:sz w:val="20"/>
              </w:rPr>
            </w:pPr>
            <w:r>
              <w:rPr>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983 University Avenue, 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Gatos, California 95032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Tigo Energy, Inc. Employee Stock Purchase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Bill Roeschlein</w:t>
        <w:b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983 University Avenue, Suite B,</w:t>
        <w:br/>
        <w:t>Los Gatos, California 95032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agent for service)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(408) 402-0802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495"/>
        <w:gridCol w:w="2300"/>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Joel Rubinstein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Laura Katherine Mann</w:t>
            </w:r>
          </w:p>
        </w:tc>
      </w:tr>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White &amp; Case LLP</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White &amp; Case LLP</w:t>
            </w:r>
          </w:p>
        </w:tc>
      </w:tr>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1221 Avenue of the Americas</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609 Main Street</w:t>
            </w:r>
          </w:p>
        </w:tc>
      </w:tr>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New York, New York 10020</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Houston, Texas 77002</w:t>
            </w:r>
          </w:p>
        </w:tc>
      </w:tr>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Telephone: (212) 819-8200</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Telephone: (713) 496-9700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“Registration Statement”) is filed by Tigo Energy, Inc. (the “Company”) to register 1,000,000 shares of the Company’s common stock, par value $0.0001 per share (the “Common Stock”), issuable under Tigo Energy, Inc. Employee Stock Purchase Plan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SECTION 10(a)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 Plan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As permitted by Rule 428 under the Securities Act of 1933, as amended (the “Securities Act”), this Registration Statement omits the information specified in Part I of Form S-8. The documents containing the information specified in this Part I of Form S-8 (“Plan Information” and “Registrant Information and Employee Plan Annual Information”) will be sent or given to employees as specified by the Securities and Exchange Commission (the “SEC”) pursuant to Rule 428(b)(1) under the Securities Act. Such documents are not required to be and are not filed with the SEC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under the Securities Act, and will include the address and telephone number to which the request is to be directed.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incorporates by reference in this Registration Statement the following:</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the Company’s Annual Report on </w:t>
            </w:r>
            <w:hyperlink r:id="rId2">
              <w:r>
                <w:rPr>
                  <w:rStyle w:val="InternetLink"/>
                  <w:sz w:val="20"/>
                </w:rPr>
                <w:t>Form 10-K</w:t>
              </w:r>
            </w:hyperlink>
            <w:r>
              <w:rPr>
                <w:sz w:val="20"/>
              </w:rPr>
              <w:t>  for the year ended December 31, 2025, filed by the Company with the SEC on March 19, 2026 (the “Annual Report”), including the portions of the Company’s Definitive Proxy Statement on </w:t>
            </w:r>
            <w:hyperlink r:id="rId3">
              <w:r>
                <w:rPr>
                  <w:rStyle w:val="InternetLink"/>
                  <w:sz w:val="20"/>
                </w:rPr>
                <w:t>Schedule 14A</w:t>
              </w:r>
            </w:hyperlink>
            <w:r>
              <w:rPr>
                <w:sz w:val="20"/>
              </w:rPr>
              <w:t> filed with the SEC on April 6, 2026 that are incorporated by reference in the Annual Report;</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the Company’s Quarterly Reports on Form 10-Q for the quarters ended March 31, 2026 and June 30, 2026, filed by the Company with the SEC on </w:t>
            </w:r>
            <w:hyperlink r:id="rId4">
              <w:r>
                <w:rPr>
                  <w:rStyle w:val="InternetLink"/>
                  <w:sz w:val="20"/>
                </w:rPr>
                <w:t>May 5, 2026</w:t>
              </w:r>
            </w:hyperlink>
            <w:r>
              <w:rPr>
                <w:sz w:val="20"/>
              </w:rPr>
              <w:t xml:space="preserve"> and </w:t>
            </w:r>
            <w:hyperlink r:id="rId5">
              <w:r>
                <w:rPr>
                  <w:rStyle w:val="InternetLink"/>
                  <w:sz w:val="20"/>
                </w:rPr>
                <w:t>August 4, 2026</w:t>
              </w:r>
            </w:hyperlink>
            <w:r>
              <w:rPr>
                <w:sz w:val="20"/>
              </w:rPr>
              <w:t>, respectively;</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997" w:type="dxa"/>
            <w:tcBorders/>
            <w:vAlign w:val="center"/>
          </w:tcPr>
          <w:p>
            <w:pPr>
              <w:pStyle w:val="TableContents"/>
              <w:bidi w:val="0"/>
              <w:spacing w:before="0" w:after="283"/>
              <w:jc w:val="both"/>
              <w:rPr/>
            </w:pPr>
            <w:r>
              <w:rPr>
                <w:sz w:val="20"/>
              </w:rPr>
              <w:t xml:space="preserve">the Company’s Current Reports on Form 8-K filed with the SEC on </w:t>
            </w:r>
            <w:hyperlink r:id="rId6">
              <w:r>
                <w:rPr>
                  <w:rStyle w:val="InternetLink"/>
                  <w:sz w:val="20"/>
                </w:rPr>
                <w:t>February 26, 2026</w:t>
              </w:r>
            </w:hyperlink>
            <w:r>
              <w:rPr>
                <w:sz w:val="20"/>
              </w:rPr>
              <w:t xml:space="preserve">, </w:t>
            </w:r>
            <w:hyperlink r:id="rId7">
              <w:r>
                <w:rPr>
                  <w:rStyle w:val="InternetLink"/>
                  <w:sz w:val="20"/>
                </w:rPr>
                <w:t>March 19, 2026</w:t>
              </w:r>
            </w:hyperlink>
            <w:r>
              <w:rPr>
                <w:sz w:val="20"/>
              </w:rPr>
              <w:t xml:space="preserve">, </w:t>
            </w:r>
            <w:hyperlink r:id="rId8">
              <w:r>
                <w:rPr>
                  <w:rStyle w:val="InternetLink"/>
                  <w:sz w:val="20"/>
                </w:rPr>
                <w:t>April 2, 2026</w:t>
              </w:r>
            </w:hyperlink>
            <w:r>
              <w:rPr>
                <w:sz w:val="20"/>
              </w:rPr>
              <w:t xml:space="preserve">, </w:t>
            </w:r>
            <w:hyperlink r:id="rId9">
              <w:r>
                <w:rPr>
                  <w:rStyle w:val="InternetLink"/>
                  <w:sz w:val="20"/>
                </w:rPr>
                <w:t>May 15, 2026</w:t>
              </w:r>
            </w:hyperlink>
            <w:r>
              <w:rPr>
                <w:sz w:val="20"/>
              </w:rPr>
              <w:t xml:space="preserve">, and </w:t>
            </w:r>
            <w:hyperlink r:id="rId10">
              <w:r>
                <w:rPr>
                  <w:rStyle w:val="InternetLink"/>
                  <w:sz w:val="20"/>
                </w:rPr>
                <w:t>May 20, 2026</w:t>
              </w:r>
            </w:hyperlink>
            <w:r>
              <w:rPr>
                <w:sz w:val="20"/>
              </w:rPr>
              <w:t xml:space="preserve">, as amended on </w:t>
            </w:r>
            <w:hyperlink r:id="rId11">
              <w:r>
                <w:rPr>
                  <w:rStyle w:val="InternetLink"/>
                  <w:sz w:val="20"/>
                </w:rPr>
                <w:t>September 8, 2026</w:t>
              </w:r>
            </w:hyperlink>
            <w:r>
              <w:rPr>
                <w:sz w:val="20"/>
              </w:rPr>
              <w:t>;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the description of the Company’s capital stock contained in our Registration Statement on </w:t>
            </w:r>
            <w:hyperlink r:id="rId12">
              <w:r>
                <w:rPr>
                  <w:rStyle w:val="InternetLink"/>
                  <w:sz w:val="20"/>
                </w:rPr>
                <w:t>Form 8-A</w:t>
              </w:r>
            </w:hyperlink>
            <w:r>
              <w:rPr>
                <w:sz w:val="20"/>
              </w:rPr>
              <w:t xml:space="preserve"> (File No. 001-40710) as originally filed with the SEC on August 4, 2021 and any amendment or report filed for the purpose of updating this information (including </w:t>
            </w:r>
            <w:hyperlink r:id="rId13">
              <w:r>
                <w:rPr>
                  <w:rStyle w:val="InternetLink"/>
                  <w:sz w:val="20"/>
                </w:rPr>
                <w:t>Exhibit 4.2</w:t>
              </w:r>
            </w:hyperlink>
            <w:r>
              <w:rPr>
                <w:sz w:val="20"/>
              </w:rPr>
              <w:t xml:space="preserve"> to our Annual Report on </w:t>
            </w:r>
            <w:hyperlink r:id="rId14">
              <w:r>
                <w:rPr>
                  <w:rStyle w:val="InternetLink"/>
                  <w:sz w:val="20"/>
                </w:rPr>
                <w:t>Form 10-K</w:t>
              </w:r>
            </w:hyperlink>
            <w:r>
              <w:rPr>
                <w:sz w:val="20"/>
              </w:rPr>
              <w:t xml:space="preserve"> for the year ended December 31, 2023, filed with the SEC on March 21, 2024), which description is incorporated herein by reference.</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Securities Exchange Act of 1934, as amended (the “Exchange Act”)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or officer to the corporation or its stockholders 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derived an improper personal benefit or (v) an officer in any action by or in the right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Charter eliminates the personal liability of directors and officers for monetary damages for any breach of fiduciary duty as a director or officer to the fullest extent permitted by Delaware law, and our Bylaws provide that we will indemnify them to the fullest extent authorized by the DGCL.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applicable law, if the basis of the indemnitee’s involvement was by reason of the fact that the indemnitee is or was our director or officer or was serving at our request. Pursuant to the indemnification agreements, we must indemnify our officers and directors against all actual and reasonable fees, expenses, and other costs of any type or nature whatsoever, including any and all expenses and obligations in connection with prosecuting, defending, preparing to prosecute or defend, investigating, being or preparing to be a witness in, settlement or appeal of, or otherwise participating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center"/>
              <w:rPr>
                <w:sz w:val="20"/>
              </w:rPr>
            </w:pPr>
            <w:r>
              <w:rPr>
                <w:b/>
                <w:sz w:val="20"/>
              </w:rPr>
              <w:t>Exhibit Description</w:t>
            </w:r>
            <w:r>
              <w:rPr>
                <w:sz w:val="20"/>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5">
              <w:r>
                <w:rPr>
                  <w:rStyle w:val="InternetLink"/>
                  <w:sz w:val="20"/>
                </w:rPr>
                <w:t>Second Amended and Restated Certificate of Incorporation of Tigo Energy, Inc. (incorporated by reference to Exhibit 3.1 to the Company’s Current Report on Form 8-K, filed with the SEC on May 30,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6">
              <w:r>
                <w:rPr>
                  <w:rStyle w:val="InternetLink"/>
                  <w:sz w:val="20"/>
                </w:rPr>
                <w:t>Amended and Restated Bylaws of Tigo Energy, Inc. (incorporated by reference to Exhibit 3.2 to the Company’s Current Report on Form 8-K, filed with the SEC on May 30,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58301ex5-1.htm">
              <w:r>
                <w:rPr>
                  <w:rStyle w:val="InternetLink"/>
                  <w:sz w:val="20"/>
                </w:rPr>
                <w:t>Opinion of White &amp; Case LLP.</w:t>
              </w:r>
            </w:hyperlink>
            <w:r>
              <w:rPr>
                <w:sz w:val="20"/>
              </w:rPr>
              <w:t xml:space="preserve">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17">
              <w:r>
                <w:rPr>
                  <w:rStyle w:val="InternetLink"/>
                  <w:sz w:val="20"/>
                </w:rPr>
                <w:t>Tigo Energy, Inc. Employee Stock Purchase Plan (incorporated by reference to Company’s Current Report on Form 8-K/A filed on September 8, 2026).</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58301ex23-1.htm">
              <w:r>
                <w:rPr>
                  <w:rStyle w:val="InternetLink"/>
                  <w:sz w:val="20"/>
                </w:rPr>
                <w:t>Consent of Deloitte &amp; Touche LLP.</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58301ex5-1.htm">
              <w:r>
                <w:rPr>
                  <w:rStyle w:val="InternetLink"/>
                  <w:sz w:val="20"/>
                </w:rPr>
                <w:t>Consent of White &amp; Case LLP (included in Exhibit 5.1 to this Registration Statement).</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a_001">
              <w:r>
                <w:rPr>
                  <w:rStyle w:val="InternetLink"/>
                  <w:sz w:val="20"/>
                </w:rPr>
                <w:t>Power of Attorney of certain officers and directors (included on the signature page to this Registration Statement).</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458301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sz w:val="20"/>
              </w:rPr>
            </w:pPr>
            <w:r>
              <w:rPr>
                <w:sz w:val="20"/>
              </w:rPr>
              <w:t>*</w:t>
            </w:r>
          </w:p>
        </w:tc>
        <w:tc>
          <w:tcPr>
            <w:tcW w:w="125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283"/>
              <w:jc w:val="left"/>
              <w:rPr>
                <w:sz w:val="20"/>
              </w:rPr>
            </w:pPr>
            <w:r>
              <w:rPr>
                <w:sz w:val="20"/>
              </w:rPr>
              <w:t>(a)</w:t>
            </w:r>
          </w:p>
        </w:tc>
        <w:tc>
          <w:tcPr>
            <w:tcW w:w="3875"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283"/>
              <w:jc w:val="both"/>
              <w:rPr>
                <w:sz w:val="20"/>
              </w:rPr>
            </w:pPr>
            <w:r>
              <w:rPr>
                <w:sz w:val="20"/>
              </w:rPr>
              <w:t>(1)</w:t>
            </w:r>
          </w:p>
        </w:tc>
        <w:tc>
          <w:tcPr>
            <w:tcW w:w="9887"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200"/>
        <w:gridCol w:w="6185"/>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sz w:val="20"/>
              </w:rPr>
            </w:pPr>
            <w:r>
              <w:rPr>
                <w:sz w:val="20"/>
              </w:rPr>
              <w:t>(i)</w:t>
            </w:r>
          </w:p>
        </w:tc>
        <w:tc>
          <w:tcPr>
            <w:tcW w:w="6185" w:type="dxa"/>
            <w:tcBorders/>
            <w:vAlign w:val="center"/>
          </w:tcPr>
          <w:p>
            <w:pPr>
              <w:pStyle w:val="TableContents"/>
              <w:bidi w:val="0"/>
              <w:spacing w:before="0" w:after="283"/>
              <w:jc w:val="both"/>
              <w:rPr>
                <w:sz w:val="20"/>
              </w:rPr>
            </w:pPr>
            <w:r>
              <w:rPr>
                <w:sz w:val="20"/>
              </w:rPr>
              <w:t>to include any prospectus required by Section 10(a)(3) of the Securities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sz w:val="20"/>
              </w:rPr>
            </w:pPr>
            <w:r>
              <w:rPr>
                <w:sz w:val="20"/>
              </w:rPr>
              <w:t>(ii)</w:t>
            </w:r>
          </w:p>
        </w:tc>
        <w:tc>
          <w:tcPr>
            <w:tcW w:w="9923" w:type="dxa"/>
            <w:tcBorders/>
            <w:vAlign w:val="center"/>
          </w:tcPr>
          <w:p>
            <w:pPr>
              <w:pStyle w:val="TableContents"/>
              <w:bidi w:val="0"/>
              <w:spacing w:before="0" w:after="283"/>
              <w:jc w:val="both"/>
              <w:rPr>
                <w:sz w:val="20"/>
              </w:rPr>
            </w:pPr>
            <w:r>
              <w:rPr>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sz w:val="20"/>
              </w:rPr>
            </w:pPr>
            <w:r>
              <w:rPr>
                <w:sz w:val="20"/>
              </w:rPr>
              <w:t>(iii)</w:t>
            </w:r>
          </w:p>
        </w:tc>
        <w:tc>
          <w:tcPr>
            <w:tcW w:w="9837"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sz w:val="20"/>
              </w:rPr>
            </w:pPr>
            <w:r>
              <w:rPr>
                <w:sz w:val="20"/>
              </w:rPr>
              <w:t>(2)</w:t>
            </w:r>
          </w:p>
        </w:tc>
        <w:tc>
          <w:tcPr>
            <w:tcW w:w="9924" w:type="dxa"/>
            <w:tcBorders/>
            <w:vAlign w:val="center"/>
          </w:tcPr>
          <w:p>
            <w:pPr>
              <w:pStyle w:val="TableContents"/>
              <w:bidi w:val="0"/>
              <w:spacing w:before="0" w:after="283"/>
              <w:jc w:val="both"/>
              <w:rPr>
                <w:sz w:val="20"/>
              </w:rPr>
            </w:pPr>
            <w:r>
              <w:rPr>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pPr>
            <w:r>
              <w:rPr/>
              <w:t> </w:t>
            </w:r>
          </w:p>
        </w:tc>
        <w:tc>
          <w:tcPr>
            <w:tcW w:w="229" w:type="dxa"/>
            <w:tcBorders/>
            <w:vAlign w:val="center"/>
          </w:tcPr>
          <w:p>
            <w:pPr>
              <w:pStyle w:val="TableContents"/>
              <w:bidi w:val="0"/>
              <w:spacing w:before="0" w:after="283"/>
              <w:jc w:val="both"/>
              <w:rPr>
                <w:sz w:val="20"/>
              </w:rPr>
            </w:pPr>
            <w:r>
              <w:rPr>
                <w:sz w:val="20"/>
              </w:rPr>
              <w:t>(3)</w:t>
            </w:r>
          </w:p>
        </w:tc>
        <w:tc>
          <w:tcPr>
            <w:tcW w:w="990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sz w:val="20"/>
              </w:rPr>
            </w:pPr>
            <w:r>
              <w:rPr>
                <w:sz w:val="20"/>
              </w:rPr>
              <w:t>(b)</w:t>
            </w:r>
          </w:p>
        </w:tc>
        <w:tc>
          <w:tcPr>
            <w:tcW w:w="9994" w:type="dxa"/>
            <w:tcBorders/>
            <w:vAlign w:val="center"/>
          </w:tcPr>
          <w:p>
            <w:pPr>
              <w:pStyle w:val="TableContents"/>
              <w:bidi w:val="0"/>
              <w:spacing w:before="0" w:after="283"/>
              <w:jc w:val="both"/>
              <w:rPr>
                <w:sz w:val="20"/>
              </w:rPr>
            </w:pPr>
            <w:r>
              <w:rPr>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both"/>
              <w:rPr>
                <w:sz w:val="20"/>
              </w:rPr>
            </w:pPr>
            <w:r>
              <w:rPr>
                <w:sz w:val="20"/>
              </w:rPr>
              <w:t>(c)</w:t>
            </w:r>
          </w:p>
        </w:tc>
        <w:tc>
          <w:tcPr>
            <w:tcW w:w="10014" w:type="dxa"/>
            <w:tcBorders/>
            <w:vAlign w:val="center"/>
          </w:tcPr>
          <w:p>
            <w:pPr>
              <w:pStyle w:val="TableContents"/>
              <w:bidi w:val="0"/>
              <w:spacing w:before="0" w:after="283"/>
              <w:jc w:val="both"/>
              <w:rPr>
                <w:sz w:val="20"/>
              </w:rPr>
            </w:pPr>
            <w:r>
              <w:rPr>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Los Gatos, State of California on the 8th day of September, 2026.</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590"/>
        <w:gridCol w:w="3140"/>
      </w:tblGrid>
      <w:tr>
        <w:trPr/>
        <w:tc>
          <w:tcPr>
            <w:tcW w:w="7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b/>
                <w:sz w:val="20"/>
              </w:rPr>
            </w:pPr>
            <w:r>
              <w:rPr>
                <w:b/>
                <w:sz w:val="20"/>
              </w:rPr>
              <w:t>TIGO ENERGY,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Zvi Alon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140" w:type="dxa"/>
            <w:tcBorders/>
            <w:vAlign w:val="center"/>
          </w:tcPr>
          <w:p>
            <w:pPr>
              <w:pStyle w:val="TableContents"/>
              <w:bidi w:val="0"/>
              <w:spacing w:before="0" w:after="283"/>
              <w:jc w:val="left"/>
              <w:rPr>
                <w:sz w:val="20"/>
              </w:rPr>
            </w:pPr>
            <w:r>
              <w:rPr>
                <w:sz w:val="20"/>
              </w:rPr>
              <w:t>Zvi Alon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spacing w:before="0" w:after="283"/>
              <w:jc w:val="left"/>
              <w:rPr>
                <w:sz w:val="20"/>
              </w:rPr>
            </w:pPr>
            <w:r>
              <w:rPr>
                <w:sz w:val="20"/>
              </w:rPr>
              <w:t>Chief Executive Officer and Chairman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PERSONS BY THESE PRESENTS, that each of the undersigned constitutes and appoints each of Zvi Alon and Bill </w:t>
      </w:r>
      <w:r>
        <w:rPr>
          <w:rFonts w:ascii="Times New Roman;Times;Serif" w:hAnsi="Times New Roman;Times;Serif"/>
          <w:b w:val="false"/>
          <w:i w:val="false"/>
          <w:caps w:val="false"/>
          <w:smallCaps w:val="false"/>
          <w:sz w:val="20"/>
          <w:shd w:fill="FFFFFF" w:val="clear"/>
        </w:rPr>
        <w:t>Roeschlein</w:t>
      </w:r>
      <w:r>
        <w:rPr>
          <w:rFonts w:ascii="Times New Roman;Times;Serif" w:hAnsi="Times New Roman;Times;Serif"/>
          <w:b w:val="false"/>
          <w:i w:val="false"/>
          <w:caps w:val="false"/>
          <w:smallCaps w:val="false"/>
          <w:sz w:val="20"/>
        </w:rPr>
        <w:t>, each acting alone, their true and lawful attorneys-in-fact and agents, with full power of substitution and resubstitution, for such person and in their name, place and stead, in any and all capacities, to sign this Registration Statement on Form S-8 and all post-effective amendments thereto, of Tigo Energy, Inc., and to file the same, with all exhibits thereto, and other document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shd w:fill="FFFFFF" w:val="clear"/>
        <w:tblLayout w:type="fixed"/>
        <w:tblCellMar>
          <w:top w:w="0" w:type="dxa"/>
          <w:left w:w="0" w:type="dxa"/>
          <w:bottom w:w="28" w:type="dxa"/>
          <w:right w:w="0" w:type="dxa"/>
        </w:tblCellMar>
      </w:tblPr>
      <w:tblGrid>
        <w:gridCol w:w="1640"/>
        <w:gridCol w:w="60"/>
        <w:gridCol w:w="5015"/>
        <w:gridCol w:w="60"/>
        <w:gridCol w:w="1550"/>
      </w:tblGrid>
      <w:tr>
        <w:trPr/>
        <w:tc>
          <w:tcPr>
            <w:tcW w:w="1640" w:type="dxa"/>
            <w:tcBorders>
              <w:bottom w:val="single" w:sz="12" w:space="0" w:color="000000"/>
            </w:tcBorders>
            <w:shd w:fill="FFFFFF" w:val="clear"/>
            <w:vAlign w:val="center"/>
          </w:tcPr>
          <w:p>
            <w:pPr>
              <w:pStyle w:val="TableContents"/>
              <w:bidi w:val="0"/>
              <w:spacing w:before="0" w:after="283"/>
              <w:jc w:val="both"/>
              <w:rPr>
                <w:b/>
                <w:sz w:val="20"/>
              </w:rPr>
            </w:pPr>
            <w:r>
              <w:rPr>
                <w:b/>
                <w:sz w:val="20"/>
              </w:rPr>
              <w:t xml:space="preserve">Signature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Capacities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shd w:fill="FFFFFF" w:val="clear"/>
            <w:vAlign w:val="center"/>
          </w:tcPr>
          <w:p>
            <w:pPr>
              <w:pStyle w:val="TableContents"/>
              <w:bidi w:val="0"/>
              <w:spacing w:before="0" w:after="283"/>
              <w:jc w:val="center"/>
              <w:rPr>
                <w:b/>
                <w:sz w:val="20"/>
              </w:rPr>
            </w:pPr>
            <w:r>
              <w:rPr>
                <w:b/>
                <w:sz w:val="20"/>
              </w:rPr>
              <w:t>Date</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/s/ Zvi Alon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Zvi Alon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/s/ Bill Roeschlein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Bill Roeschlein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(Principal Financial Officer and Principal Accounting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/s/ Tomer Babai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Tomer Babai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/s/ Joan C. Conley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Joan C. Conley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/s/ Sagit Manor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Sagit Manor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/s/ Michael Splinter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Michael Splinter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 xml:space="preserve">/s/ Stanley Stern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Stanley Stern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r>
        <w:trPr/>
        <w:tc>
          <w:tcPr>
            <w:tcW w:w="1640" w:type="dxa"/>
            <w:tcBorders>
              <w:bottom w:val="single" w:sz="12" w:space="0" w:color="000000"/>
            </w:tcBorders>
            <w:shd w:fill="FFFFFF" w:val="clear"/>
            <w:vAlign w:val="center"/>
          </w:tcPr>
          <w:p>
            <w:pPr>
              <w:pStyle w:val="TableContents"/>
              <w:bidi w:val="0"/>
              <w:spacing w:before="0" w:after="283"/>
              <w:jc w:val="left"/>
              <w:rPr>
                <w:sz w:val="20"/>
              </w:rPr>
            </w:pPr>
            <w:r>
              <w:rPr>
                <w:sz w:val="20"/>
              </w:rPr>
              <w:t xml:space="preserve">/s/ John Wilson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center"/>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sz w:val="20"/>
              </w:rPr>
            </w:pPr>
            <w:r>
              <w:rPr>
                <w:sz w:val="20"/>
              </w:rPr>
              <w:t>September 8, 2026</w:t>
            </w:r>
          </w:p>
        </w:tc>
      </w:tr>
      <w:tr>
        <w:trPr/>
        <w:tc>
          <w:tcPr>
            <w:tcW w:w="1640" w:type="dxa"/>
            <w:tcBorders/>
            <w:shd w:fill="FFFFFF" w:val="clear"/>
            <w:tcMar>
              <w:bottom w:w="0" w:type="dxa"/>
            </w:tcMar>
            <w:vAlign w:val="center"/>
          </w:tcPr>
          <w:p>
            <w:pPr>
              <w:pStyle w:val="TableContents"/>
              <w:bidi w:val="0"/>
              <w:spacing w:before="0" w:after="283"/>
              <w:jc w:val="both"/>
              <w:rPr>
                <w:b/>
                <w:sz w:val="20"/>
              </w:rPr>
            </w:pPr>
            <w:r>
              <w:rPr>
                <w:b/>
                <w:sz w:val="20"/>
              </w:rPr>
              <w:t>John Wilson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458301ex5-1.htm"/>
      <w:bookmarkStart w:id="4" w:name="ksea0304583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381250" cy="1495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2381250" cy="14954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w:t>
        <w:br/>
        <w:t>983 University Avenue, Suite B</w:t>
        <w:br/>
        <w:t>Los Gatos,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 Tigo Energy, Inc. - Registration Statement on Form S-8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New York counsel to Tigo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of a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on the date hereof, relating to the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1,000,000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common stock, par value $0.0001 per share, of the Company reserved for issuance under the Company’s Employee Stock Purchase Plan (the “</w:t>
      </w:r>
      <w:r>
        <w:rPr>
          <w:rFonts w:ascii="Times New Roman;Times;Serif" w:hAnsi="Times New Roman;Times;Serif"/>
          <w:b w:val="false"/>
          <w:i w:val="false"/>
          <w:caps w:val="false"/>
          <w:smallCaps w:val="false"/>
          <w:sz w:val="20"/>
          <w:u w:val="single"/>
        </w:rPr>
        <w:t>ESPP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(a)</w:t>
            </w:r>
          </w:p>
        </w:tc>
        <w:tc>
          <w:tcPr>
            <w:tcW w:w="9882" w:type="dxa"/>
            <w:tcBorders/>
            <w:vAlign w:val="center"/>
          </w:tcPr>
          <w:p>
            <w:pPr>
              <w:pStyle w:val="TableContents"/>
              <w:bidi w:val="0"/>
              <w:spacing w:before="0" w:after="283"/>
              <w:jc w:val="both"/>
              <w:rPr/>
            </w:pPr>
            <w:r>
              <w:rPr/>
              <w:t xml:space="preserve">the Registration Statement;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88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(b)</w:t>
            </w:r>
          </w:p>
        </w:tc>
        <w:tc>
          <w:tcPr>
            <w:tcW w:w="9882" w:type="dxa"/>
            <w:tcBorders/>
            <w:vAlign w:val="center"/>
          </w:tcPr>
          <w:p>
            <w:pPr>
              <w:pStyle w:val="TableContents"/>
              <w:bidi w:val="0"/>
              <w:spacing w:before="0" w:after="283"/>
              <w:jc w:val="both"/>
              <w:rPr/>
            </w:pPr>
            <w:r>
              <w:rPr/>
              <w:t xml:space="preserve">a copy of the Second Amended and Restated Certificate of Incorporation of the Company, filed with the Secretary of State of the State of Delaware on May 23, 2023, certified by the Secretary of the Company;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88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(c)</w:t>
            </w:r>
          </w:p>
        </w:tc>
        <w:tc>
          <w:tcPr>
            <w:tcW w:w="9882" w:type="dxa"/>
            <w:tcBorders/>
            <w:vAlign w:val="center"/>
          </w:tcPr>
          <w:p>
            <w:pPr>
              <w:pStyle w:val="TableContents"/>
              <w:bidi w:val="0"/>
              <w:spacing w:before="0" w:after="283"/>
              <w:jc w:val="both"/>
              <w:rPr/>
            </w:pPr>
            <w:r>
              <w:rPr/>
              <w:t xml:space="preserve">a copy of the Amended and Restated Bylaws of the Company as in effect on May 23, 2023, certified by the Secretary of the Company;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88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(d)</w:t>
            </w:r>
          </w:p>
        </w:tc>
        <w:tc>
          <w:tcPr>
            <w:tcW w:w="9882" w:type="dxa"/>
            <w:tcBorders/>
            <w:vAlign w:val="center"/>
          </w:tcPr>
          <w:p>
            <w:pPr>
              <w:pStyle w:val="TableContents"/>
              <w:bidi w:val="0"/>
              <w:spacing w:before="0" w:after="283"/>
              <w:jc w:val="both"/>
              <w:rPr/>
            </w:pPr>
            <w:r>
              <w:rPr/>
              <w:t xml:space="preserve">a copy of the resolutions of the board of directors of the Company adopted on March 25, 2026, relating to, among other matters, the filing of the Registration Statement, certified by the Secretary of the Company; and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 </w:t>
            </w:r>
          </w:p>
        </w:tc>
        <w:tc>
          <w:tcPr>
            <w:tcW w:w="988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(e)</w:t>
            </w:r>
          </w:p>
        </w:tc>
        <w:tc>
          <w:tcPr>
            <w:tcW w:w="9882" w:type="dxa"/>
            <w:tcBorders/>
            <w:vAlign w:val="center"/>
          </w:tcPr>
          <w:p>
            <w:pPr>
              <w:pStyle w:val="TableContents"/>
              <w:bidi w:val="0"/>
              <w:spacing w:before="0" w:after="283"/>
              <w:jc w:val="both"/>
              <w:rPr/>
            </w:pPr>
            <w:r>
              <w:rPr/>
              <w:t>the ESPP.</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assumptions, and subject to the qualifications and limitations stated herein, having considered such questions of law as we have deemed necessary as a basis for the opinion expressed below, we are of the opinion that the Shares reserved for issuance pursuant to the ESPP, as referenced above, have been duly authorized for issuance and sale pursuant to the ESPP by all necessary corporate action of the Company, and when issued as provided under the ESPP, they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This opinion letter is for your benefit in connection with the Registration Statement and may be relied upon by you and by persons entitled to rely upon it pursuant to the applicable provisions of the Securities Act.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Commission as Exhibit 5.1 to the Registration Statement. In giving this consent, we do not hereby admit that we are 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2135"/>
        <w:gridCol w:w="75"/>
      </w:tblGrid>
      <w:tr>
        <w:trPr/>
        <w:tc>
          <w:tcPr>
            <w:tcW w:w="2135" w:type="dxa"/>
            <w:tcBorders/>
            <w:vAlign w:val="center"/>
          </w:tcPr>
          <w:p>
            <w:pPr>
              <w:pStyle w:val="TableContents"/>
              <w:bidi w:val="0"/>
              <w:spacing w:before="0" w:after="283"/>
              <w:jc w:val="both"/>
              <w:rPr/>
            </w:pPr>
            <w:r>
              <w:rPr/>
              <w:t xml:space="preserve">Very truly yours,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/s/ White &amp; Case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LKM: MA: MC : WY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458301ex23-1.htm"/>
      <w:bookmarkStart w:id="6" w:name="ksea0304583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CONSENT OF INDEPENDENT REGISTERED PUBLIC ACCOUNTING FIRM</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consent to the incorporation by reference in this Registration Statement on Form S-8 of our report dated March 19, 2026, relating to the financial statements of Tigo Energy, Inc. appearing in the Annual Report on Form 10-K of Tigo Energy,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 Jose, California</w:t>
        <w:b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a030458301ex-fee.htm"/>
      <w:bookmarkStart w:id="8" w:name="ksea0304583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TIGO ENERGY,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0"/>
        <w:gridCol w:w="60"/>
        <w:gridCol w:w="1120"/>
        <w:gridCol w:w="60"/>
        <w:gridCol w:w="575"/>
        <w:gridCol w:w="60"/>
        <w:gridCol w:w="1126"/>
        <w:gridCol w:w="60"/>
        <w:gridCol w:w="1079"/>
        <w:gridCol w:w="60"/>
        <w:gridCol w:w="188"/>
        <w:gridCol w:w="922"/>
        <w:gridCol w:w="60"/>
        <w:gridCol w:w="152"/>
        <w:gridCol w:w="1397"/>
        <w:gridCol w:w="60"/>
        <w:gridCol w:w="1040"/>
        <w:gridCol w:w="60"/>
        <w:gridCol w:w="213"/>
        <w:gridCol w:w="1063"/>
      </w:tblGrid>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2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79"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22" w:type="dxa"/>
            <w:tcBorders/>
            <w:vAlign w:val="center"/>
          </w:tcPr>
          <w:p>
            <w:pPr>
              <w:pStyle w:val="TableContents"/>
              <w:bidi w:val="0"/>
              <w:spacing w:before="0" w:after="283"/>
              <w:jc w:val="right"/>
              <w:rPr/>
            </w:pPr>
            <w:r>
              <w:rPr/>
              <w:t>1.0655</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397" w:type="dxa"/>
            <w:tcBorders/>
            <w:vAlign w:val="center"/>
          </w:tcPr>
          <w:p>
            <w:pPr>
              <w:pStyle w:val="TableContents"/>
              <w:bidi w:val="0"/>
              <w:spacing w:before="0" w:after="283"/>
              <w:jc w:val="right"/>
              <w:rPr/>
            </w:pPr>
            <w:r>
              <w:rPr/>
              <w:t>1,065,500.00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63" w:type="dxa"/>
            <w:tcBorders/>
            <w:vAlign w:val="center"/>
          </w:tcPr>
          <w:p>
            <w:pPr>
              <w:pStyle w:val="TableContents"/>
              <w:bidi w:val="0"/>
              <w:spacing w:before="0" w:after="283"/>
              <w:jc w:val="right"/>
              <w:rPr/>
            </w:pPr>
            <w:r>
              <w:rPr/>
              <w:t>147.15</w:t>
            </w:r>
          </w:p>
        </w:tc>
      </w:tr>
      <w:tr>
        <w:trPr/>
        <w:tc>
          <w:tcPr>
            <w:tcW w:w="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bottom w:val="single" w:sz="8" w:space="0" w:color="000000"/>
            </w:tcBorders>
            <w:tcMar>
              <w:bottom w:w="28" w:type="dxa"/>
            </w:tcMar>
            <w:vAlign w:val="center"/>
          </w:tcPr>
          <w:p>
            <w:pPr>
              <w:pStyle w:val="TableContents"/>
              <w:bidi w:val="0"/>
              <w:spacing w:before="0" w:after="283"/>
              <w:jc w:val="left"/>
              <w:rPr/>
            </w:pPr>
            <w:r>
              <w:rPr/>
              <w:t> </w:t>
            </w:r>
          </w:p>
        </w:tc>
        <w:tc>
          <w:tcPr>
            <w:tcW w:w="13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60"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397" w:type="dxa"/>
            <w:tcBorders/>
            <w:vAlign w:val="center"/>
          </w:tcPr>
          <w:p>
            <w:pPr>
              <w:pStyle w:val="TableContents"/>
              <w:bidi w:val="0"/>
              <w:spacing w:before="0" w:after="283"/>
              <w:jc w:val="right"/>
              <w:rPr/>
            </w:pPr>
            <w:r>
              <w:rPr/>
              <w:t>1,065,500.00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147.15</w:t>
            </w:r>
          </w:p>
        </w:tc>
      </w:tr>
      <w:tr>
        <w:trPr/>
        <w:tc>
          <w:tcPr>
            <w:tcW w:w="6160"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160"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063" w:type="dxa"/>
            <w:tcBorders>
              <w:bottom w:val="double" w:sz="8" w:space="0" w:color="000000"/>
            </w:tcBorders>
            <w:tcMar>
              <w:bottom w:w="28" w:type="dxa"/>
            </w:tcMar>
            <w:vAlign w:val="center"/>
          </w:tcPr>
          <w:p>
            <w:pPr>
              <w:pStyle w:val="TableContents"/>
              <w:bidi w:val="0"/>
              <w:spacing w:before="0" w:after="283"/>
              <w:jc w:val="right"/>
              <w:rPr/>
            </w:pPr>
            <w:r>
              <w:rPr/>
              <w:t>147.15</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1"/>
        <w:gridCol w:w="23"/>
        <w:gridCol w:w="9941"/>
      </w:tblGrid>
      <w:tr>
        <w:trPr/>
        <w:tc>
          <w:tcPr>
            <w:tcW w:w="241"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both"/>
              <w:rPr/>
            </w:pPr>
            <w:r>
              <w:rPr/>
              <w:t>Pursuant to Rule 416(a) under the Securities Act of 1933, as amended (the “Securities Act”), this registration statement shall also cover any additional shares of common stock, par value $0.0001 per share (the “Common Stock”) of Tigo Energy, Inc. (the “Company” or the “Registrant”) that may become issuable under the terms of the Company’s Employee Stock Purchase Plan (the “ESPP”) by reason of any share split, share dividend, recapitalization or other similar transaction effected without the Company’s receipt of consideration which results in an increase in the number of the outstanding shares of Common Stock.</w:t>
              <w:br/>
              <w:br/>
              <w:t>The proposed maximum offering price per unit is estimated in accordance with Rule 457(c) and (h) of the Securities Act solely for the purpose of calculating the Registrant's registration fee on the basis of $1.0655 per share, which is the average of the high and low prices of common stock, as reported on the Nasdaq Stock Market LLC, on September 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55447/000119312526115952/tygo-20251231.htm" TargetMode="External"/><Relationship Id="rId3" Type="http://schemas.openxmlformats.org/officeDocument/2006/relationships/hyperlink" Target="http://www.sec.gov/ix?doc=/Archives/edgar/data/1855447/000119312526143738/tygo-20260406.htm" TargetMode="External"/><Relationship Id="rId4" Type="http://schemas.openxmlformats.org/officeDocument/2006/relationships/hyperlink" Target="http://www.sec.gov/ix?doc=/Archives/edgar/data/1855447/000185544726000003/tygo-20260331.htm" TargetMode="External"/><Relationship Id="rId5" Type="http://schemas.openxmlformats.org/officeDocument/2006/relationships/hyperlink" Target="http://www.sec.gov/ix?doc=/Archives/edgar/data/1855447/000185544726000007/tygo-20260630.htm" TargetMode="External"/><Relationship Id="rId6" Type="http://schemas.openxmlformats.org/officeDocument/2006/relationships/hyperlink" Target="http://www.sec.gov/ix?doc=/Archives/edgar/data/1855447/000121390026020685/ea0278337-8k_tigo.htm" TargetMode="External"/><Relationship Id="rId7" Type="http://schemas.openxmlformats.org/officeDocument/2006/relationships/hyperlink" Target="http://www.sec.gov/ix?doc=/Archives/edgar/data/1855447/000121390026031852/ea0282492-8k_tigo.htm" TargetMode="External"/><Relationship Id="rId8" Type="http://schemas.openxmlformats.org/officeDocument/2006/relationships/hyperlink" Target="http://www.sec.gov/ix?doc=/Archives/edgar/data/1855447/000121390026039446/ea0284556-8k_tigo.htm" TargetMode="External"/><Relationship Id="rId9" Type="http://schemas.openxmlformats.org/officeDocument/2006/relationships/hyperlink" Target="http://www.sec.gov/ix?doc=/Archives/edgar/data/1855447/000121390026057849/ea0291158-8k_tigo.htm" TargetMode="External"/><Relationship Id="rId10" Type="http://schemas.openxmlformats.org/officeDocument/2006/relationships/hyperlink" Target="http://www.sec.gov/ix?doc=/Archives/edgar/data/1855447/000121390026059563/ea0291690-8k_tigo.htm" TargetMode="External"/><Relationship Id="rId11" Type="http://schemas.openxmlformats.org/officeDocument/2006/relationships/hyperlink" Target="https://www.sec.gov/ix?doc=/Archives/edgar/data/1855447/000121390026098054/ea0304627-8ka1_tigo.htm" TargetMode="External"/><Relationship Id="rId12" Type="http://schemas.openxmlformats.org/officeDocument/2006/relationships/hyperlink" Target="http://www.sec.gov/Archives/edgar/data/1855447/000110465921099938/tm2112097d6_8a12b.htm" TargetMode="External"/><Relationship Id="rId13" Type="http://schemas.openxmlformats.org/officeDocument/2006/relationships/hyperlink" Target="http://www.sec.gov/Archives/edgar/data/1855447/000095017024034765/tygo-ex4_2.htm" TargetMode="External"/><Relationship Id="rId14" Type="http://schemas.openxmlformats.org/officeDocument/2006/relationships/hyperlink" Target="http://www.sec.gov/Archives/edgar/data/1855447/000095017024034765/tygo-20231231.htm" TargetMode="External"/><Relationship Id="rId15" Type="http://schemas.openxmlformats.org/officeDocument/2006/relationships/hyperlink" Target="http://www.sec.gov/Archives/edgar/data/1855447/000121390023044099/ea179362ex3-1_tigoenergy.htm" TargetMode="External"/><Relationship Id="rId16" Type="http://schemas.openxmlformats.org/officeDocument/2006/relationships/hyperlink" Target="http://www.sec.gov/Archives/edgar/data/1855447/000121390023044099/ea179362ex3-2_tigoenergy.htm" TargetMode="External"/><Relationship Id="rId17" Type="http://schemas.openxmlformats.org/officeDocument/2006/relationships/hyperlink" Target="https://www.sec.gov/Archives/edgar/data/1855447/000121390026098054/ea030462701ex10-1.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4527</Words>
  <Characters>23800</Characters>
  <CharactersWithSpaces>28489</CharactersWithSpaces>
  <Paragraphs>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