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50331.htm"/>
      <w:bookmarkStart w:id="1" w:name="kstygo2025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bidi w:val="0"/>
        <w:jc w:val="center"/>
        <w:rPr>
          <w:rFonts w:ascii="Times New Roman" w:hAnsi="Times New Roman"/>
          <w:b/>
          <w:color w:val="000000"/>
          <w:sz w:val="48"/>
        </w:rPr>
      </w:pPr>
      <w:r>
        <w:rPr>
          <w:rFonts w:ascii="Times New Roman" w:hAnsi="Times New Roman"/>
          <w:b/>
          <w:color w:val="000000"/>
          <w:sz w:val="48"/>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282" w:type="dxa"/>
        <w:jc w:val="left"/>
        <w:tblInd w:w="0" w:type="dxa"/>
        <w:tblLayout w:type="fixed"/>
        <w:tblCellMar>
          <w:top w:w="28" w:type="dxa"/>
          <w:left w:w="28" w:type="dxa"/>
          <w:bottom w:w="28" w:type="dxa"/>
          <w:right w:w="28" w:type="dxa"/>
        </w:tblCellMar>
      </w:tblPr>
      <w:tblGrid>
        <w:gridCol w:w="4036"/>
        <w:gridCol w:w="1246"/>
      </w:tblGrid>
      <w:tr>
        <w:trPr/>
        <w:tc>
          <w:tcPr>
            <w:tcW w:w="40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4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4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655 Campbell Technology Parkway, Suite 150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Campbell,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95008</w:t>
            </w:r>
          </w:p>
        </w:tc>
      </w:tr>
      <w:tr>
        <w:trPr/>
        <w:tc>
          <w:tcPr>
            <w:tcW w:w="4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402-0802</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May 1, 2025, the registrant had 62,016,316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Forward-looking statements in this Quarterly Report on Form 10-Q may include, for example,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meet future liquidity requirements, including our ability to continue as a going concern, which will likely require us to explore refinancing our existing debt and/or raise additional capital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projected financial information and market opportunities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meet the listing requirements of Nasdaq;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develop and sell its product offerings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seasonal trends and the cyclical nature of the solar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liquidity and trading of the Company’s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acquire and protect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the Company’s dependence on a small number of outside contract manufacturers, primarily in China and Thailand;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working with leading solar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respond to fluctuations in foreign currency exchange rates, trade tariffs or other trade barriers, and political unrest and regulatory changes in the markets into which the Company expands or otherwise operates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enhance future operating and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forecast demand accurately and monetize its inventory on-hand;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or recruit, or changes required in, its officers, key employees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implement and maintain effective internal controls;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relating to the Company’s business, operations and financial performance, including: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comply with laws and regulations applicable to its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and global and economic factors beyond the Company’s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compete in the highly competitive and evolving solar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to develop new products and innovations to meet constantly evolving customer demands;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enter into, successfully maintain and manage relationships with partners and distributors;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acquire or make investments in other businesses, patents, technologies, products or services to grow the business, and realize the anticipated benefits therefrom.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this Quarterly Report on Form 10-Q, in particular the risks described in Part II, Item 1A, “Risk Factors” of this Quarterly Report and in Part I, Item 1A, “Risk Factors” in the Company’s Annual Report on Form 10-K filed with the Securities and Exchange Commission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240" w:after="283"/>
        <w:jc w:val="both"/>
        <w:rPr>
          <w:color w:val="000000"/>
        </w:rPr>
      </w:pPr>
      <w:r>
        <w:rPr>
          <w:color w:val="000000"/>
        </w:rPr>
        <w:t>“</w:t>
      </w:r>
      <w:r>
        <w:rPr>
          <w:rFonts w:ascii="Times New Roman" w:hAnsi="Times New Roman"/>
          <w:color w:val="000000"/>
          <w:sz w:val="20"/>
        </w:rPr>
        <w:t>SEC”) on March 20, 2025 (the “2024 Annual Report”) and the Company’s other filings with the SEC.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5"/>
        <w:gridCol w:w="9058"/>
        <w:gridCol w:w="362"/>
      </w:tblGrid>
      <w:tr>
        <w:trPr/>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9058" w:type="dxa"/>
            <w:tcBorders/>
            <w:shd w:fill="FFFFFF" w:val="clear"/>
            <w:vAlign w:val="center"/>
          </w:tcPr>
          <w:p>
            <w:pPr>
              <w:pStyle w:val="TableContents"/>
              <w:bidi w:val="0"/>
              <w:spacing w:before="0" w:after="283"/>
              <w:jc w:val="left"/>
              <w:rPr>
                <w:sz w:val="4"/>
                <w:szCs w:val="4"/>
              </w:rPr>
            </w:pPr>
            <w:r>
              <w:rPr>
                <w:sz w:val="4"/>
                <w:szCs w:val="4"/>
              </w:rPr>
            </w:r>
          </w:p>
        </w:tc>
        <w:tc>
          <w:tcPr>
            <w:tcW w:w="362" w:type="dxa"/>
            <w:tcBorders/>
            <w:shd w:fill="FFFFFF" w:val="clear"/>
            <w:vAlign w:val="center"/>
          </w:tcPr>
          <w:p>
            <w:pPr>
              <w:pStyle w:val="TableContents"/>
              <w:bidi w:val="0"/>
              <w:spacing w:before="0" w:after="283"/>
              <w:jc w:val="left"/>
              <w:rPr>
                <w:sz w:val="4"/>
                <w:szCs w:val="4"/>
              </w:rPr>
            </w:pPr>
            <w:r>
              <w:rPr>
                <w:sz w:val="4"/>
                <w:szCs w:val="4"/>
              </w:rPr>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FINANCIAL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2025, and December 31, 2024</w:t>
              </w:r>
            </w:hyperlink>
            <w:hyperlink w:anchor="condensed_consolidated_balance_sheets">
              <w:r>
                <w:rPr>
                  <w:rStyle w:val="InternetLink"/>
                  <w:rFonts w:ascii="Times New Roman" w:hAnsi="Times New Roman"/>
                  <w:color w:val="0000FF"/>
                  <w:sz w:val="20"/>
                </w:rPr>
                <w:t xml:space="preserve"> </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condensed_stmt_of_ops_and_comp_income">
              <w:r>
                <w:rPr>
                  <w:rStyle w:val="InternetLink"/>
                  <w:rFonts w:ascii="Times New Roman" w:hAnsi="Times New Roman"/>
                  <w:color w:val="0000FF"/>
                  <w:sz w:val="20"/>
                  <w:u w:val="single"/>
                </w:rPr>
                <w:t>Condensed Consolidated Statements of Operations and Comprehensive Loss for the Three Months ended March 31, 2025, and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statements_of_equity">
              <w:r>
                <w:rPr>
                  <w:rStyle w:val="InternetLink"/>
                  <w:rFonts w:ascii="Times New Roman" w:hAnsi="Times New Roman"/>
                  <w:color w:val="0000FF"/>
                  <w:sz w:val="20"/>
                  <w:u w:val="single"/>
                </w:rPr>
                <w:t>Condensed Consolidated Statements of Stockholders’ Equity for the Three Months ended March 31, 2025, and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condensed_consolidated_stmt_of_cash_flow">
              <w:r>
                <w:rPr>
                  <w:rStyle w:val="InternetLink"/>
                  <w:rFonts w:ascii="Times New Roman" w:hAnsi="Times New Roman"/>
                  <w:color w:val="0000FF"/>
                  <w:sz w:val="20"/>
                  <w:u w:val="single"/>
                </w:rPr>
                <w:t>Condensed Consolidated Statements of Cash Flows for the Three Months ended March 31, 2025, and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notes_to_consolidated_condensed_fin_stmt">
              <w:r>
                <w:rPr>
                  <w:rStyle w:val="InternetLink"/>
                  <w:rFonts w:ascii="Times New Roman" w:hAnsi="Times New Roman"/>
                  <w:color w:val="0000FF"/>
                  <w:sz w:val="20"/>
                  <w:u w:val="single"/>
                </w:rPr>
                <w:t>Notes to Condensed Consolidated 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OTHER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1A.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tem_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left"/>
        <w:rPr>
          <w:rFonts w:ascii="Times New Roman" w:hAnsi="Times New Roman"/>
          <w:b/>
          <w:i/>
          <w:color w:val="000000"/>
          <w:sz w:val="18"/>
        </w:rPr>
      </w:pPr>
      <w:bookmarkStart w:id="2" w:name="item_1_financial_statements_unaudited"/>
      <w:bookmarkEnd w:id="2"/>
      <w:r>
        <w:rPr>
          <w:rFonts w:ascii="Times New Roman" w:hAnsi="Times New Roman"/>
          <w:b/>
          <w:i/>
          <w:color w:val="000000"/>
          <w:sz w:val="18"/>
        </w:rPr>
        <w:t>Item 1. Financial Statements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3"/>
        <w:gridCol w:w="146"/>
        <w:gridCol w:w="196"/>
        <w:gridCol w:w="751"/>
        <w:gridCol w:w="166"/>
        <w:gridCol w:w="146"/>
        <w:gridCol w:w="214"/>
        <w:gridCol w:w="821"/>
        <w:gridCol w:w="692"/>
      </w:tblGrid>
      <w:tr>
        <w:trPr/>
        <w:tc>
          <w:tcPr>
            <w:tcW w:w="7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7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2024</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3"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11,746</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Marketable securities,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8,156</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Accounts receivable, net of allowance for credit losses of $2,133</w:t>
            </w:r>
            <w:r>
              <w:rPr>
                <w:rFonts w:ascii="Times New Roman" w:hAnsi="Times New Roman"/>
                <w:color w:val="000000"/>
                <w:sz w:val="20"/>
              </w:rPr>
              <w:t> </w:t>
            </w:r>
            <w:r>
              <w:rPr>
                <w:rFonts w:ascii="Times New Roman" w:hAnsi="Times New Roman"/>
                <w:color w:val="000000"/>
                <w:sz w:val="18"/>
              </w:rPr>
              <w:t>and $2,239</w:t>
            </w:r>
            <w:r>
              <w:rPr>
                <w:rFonts w:ascii="Times New Roman" w:hAnsi="Times New Roman"/>
                <w:color w:val="000000"/>
                <w:sz w:val="20"/>
              </w:rPr>
              <w:t> </w:t>
            </w:r>
            <w:r>
              <w:rPr>
                <w:rFonts w:ascii="Times New Roman" w:hAnsi="Times New Roman"/>
                <w:color w:val="000000"/>
                <w:sz w:val="18"/>
              </w:rPr>
              <w:t>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7,976</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53,408</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72,911</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13"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8,077</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7,361</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Short-term debt, net of 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17,108</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of 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40,511</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64,526</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shares authorized; 61,914,519</w:t>
            </w:r>
            <w:r>
              <w:rPr>
                <w:rFonts w:ascii="Times New Roman" w:hAnsi="Times New Roman"/>
                <w:color w:val="000000"/>
                <w:sz w:val="20"/>
              </w:rPr>
              <w:t> </w:t>
            </w:r>
            <w:r>
              <w:rPr>
                <w:rFonts w:ascii="Times New Roman" w:hAnsi="Times New Roman"/>
                <w:color w:val="000000"/>
                <w:sz w:val="18"/>
              </w:rPr>
              <w:t>and 60,800,130</w:t>
            </w:r>
            <w:r>
              <w:rPr>
                <w:rFonts w:ascii="Times New Roman" w:hAnsi="Times New Roman"/>
                <w:color w:val="000000"/>
                <w:sz w:val="20"/>
              </w:rPr>
              <w:t> </w:t>
            </w:r>
            <w:r>
              <w:rPr>
                <w:rFonts w:ascii="Times New Roman" w:hAnsi="Times New Roman"/>
                <w:color w:val="000000"/>
                <w:sz w:val="18"/>
              </w:rPr>
              <w:t>shares issued and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146,903</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(138,526</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7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8,385</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7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72,911</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4" w:name="condensed_stmt_of_ops_and_comp_income"/>
      <w:bookmarkEnd w:id="4"/>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42"/>
        <w:gridCol w:w="146"/>
        <w:gridCol w:w="211"/>
        <w:gridCol w:w="1036"/>
        <w:gridCol w:w="166"/>
        <w:gridCol w:w="146"/>
        <w:gridCol w:w="211"/>
        <w:gridCol w:w="1036"/>
        <w:gridCol w:w="711"/>
      </w:tblGrid>
      <w:tr>
        <w:trPr/>
        <w:tc>
          <w:tcPr>
            <w:tcW w:w="6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contingent shares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(loss) gain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59,374,019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61,657,718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59,374,019</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bookmarkStart w:id="5" w:name="statements_of_equity"/>
      <w:bookmarkEnd w:id="5"/>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54"/>
        <w:gridCol w:w="146"/>
        <w:gridCol w:w="146"/>
        <w:gridCol w:w="916"/>
        <w:gridCol w:w="166"/>
        <w:gridCol w:w="146"/>
        <w:gridCol w:w="228"/>
        <w:gridCol w:w="403"/>
        <w:gridCol w:w="146"/>
        <w:gridCol w:w="146"/>
        <w:gridCol w:w="146"/>
        <w:gridCol w:w="196"/>
        <w:gridCol w:w="691"/>
        <w:gridCol w:w="146"/>
        <w:gridCol w:w="146"/>
        <w:gridCol w:w="196"/>
        <w:gridCol w:w="751"/>
        <w:gridCol w:w="166"/>
        <w:gridCol w:w="146"/>
        <w:gridCol w:w="523"/>
        <w:gridCol w:w="925"/>
        <w:gridCol w:w="166"/>
        <w:gridCol w:w="146"/>
        <w:gridCol w:w="268"/>
        <w:gridCol w:w="783"/>
        <w:gridCol w:w="213"/>
      </w:tblGrid>
      <w:tr>
        <w:trPr/>
        <w:tc>
          <w:tcPr>
            <w:tcW w:w="2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2"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60,800,130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61,914,519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63"/>
        <w:gridCol w:w="146"/>
        <w:gridCol w:w="146"/>
        <w:gridCol w:w="916"/>
        <w:gridCol w:w="146"/>
        <w:gridCol w:w="146"/>
        <w:gridCol w:w="228"/>
        <w:gridCol w:w="403"/>
        <w:gridCol w:w="146"/>
        <w:gridCol w:w="146"/>
        <w:gridCol w:w="146"/>
        <w:gridCol w:w="196"/>
        <w:gridCol w:w="691"/>
        <w:gridCol w:w="146"/>
        <w:gridCol w:w="146"/>
        <w:gridCol w:w="216"/>
        <w:gridCol w:w="730"/>
        <w:gridCol w:w="166"/>
        <w:gridCol w:w="146"/>
        <w:gridCol w:w="527"/>
        <w:gridCol w:w="931"/>
        <w:gridCol w:w="166"/>
        <w:gridCol w:w="146"/>
        <w:gridCol w:w="240"/>
        <w:gridCol w:w="813"/>
        <w:gridCol w:w="213"/>
      </w:tblGrid>
      <w:tr>
        <w:trPr/>
        <w:tc>
          <w:tcPr>
            <w:tcW w:w="2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60,358,166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54,324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mt_of_cash_flow"/>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both"/>
        <w:rPr/>
      </w:pPr>
      <w:r>
        <w:rPr/>
        <w:t> </w:t>
      </w:r>
    </w:p>
    <w:tbl>
      <w:tblPr>
        <w:tblW w:w="9784" w:type="dxa"/>
        <w:jc w:val="left"/>
        <w:tblInd w:w="0" w:type="dxa"/>
        <w:tblLayout w:type="fixed"/>
        <w:tblCellMar>
          <w:top w:w="28" w:type="dxa"/>
          <w:left w:w="28" w:type="dxa"/>
          <w:bottom w:w="28" w:type="dxa"/>
          <w:right w:w="28" w:type="dxa"/>
        </w:tblCellMar>
      </w:tblPr>
      <w:tblGrid>
        <w:gridCol w:w="5101"/>
        <w:gridCol w:w="746"/>
        <w:gridCol w:w="196"/>
        <w:gridCol w:w="601"/>
        <w:gridCol w:w="746"/>
        <w:gridCol w:w="746"/>
        <w:gridCol w:w="196"/>
        <w:gridCol w:w="661"/>
        <w:gridCol w:w="791"/>
      </w:tblGrid>
      <w:tr>
        <w:trPr/>
        <w:tc>
          <w:tcPr>
            <w:tcW w:w="510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to write down inventories to net realizable value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contingent shares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2,235</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allowance for credit losses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interest on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Warranty liability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long-term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(7,957</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at-the-market offering</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(3,245</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8,501</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307" w:type="dxa"/>
        <w:jc w:val="left"/>
        <w:tblInd w:w="0" w:type="dxa"/>
        <w:tblLayout w:type="fixed"/>
        <w:tblCellMar>
          <w:top w:w="28" w:type="dxa"/>
          <w:left w:w="28" w:type="dxa"/>
          <w:bottom w:w="28" w:type="dxa"/>
          <w:right w:w="28" w:type="dxa"/>
        </w:tblCellMar>
      </w:tblPr>
      <w:tblGrid>
        <w:gridCol w:w="6171"/>
        <w:gridCol w:w="346"/>
        <w:gridCol w:w="221"/>
        <w:gridCol w:w="577"/>
        <w:gridCol w:w="413"/>
        <w:gridCol w:w="390"/>
        <w:gridCol w:w="221"/>
        <w:gridCol w:w="577"/>
        <w:gridCol w:w="391"/>
      </w:tblGrid>
      <w:tr>
        <w:trPr/>
        <w:tc>
          <w:tcPr>
            <w:tcW w:w="6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 of use assets obtained in exchange for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consideration paid for fSight acquisition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shares liability from fSight acquisition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gain resulting from change in fair value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notes_to_consolidated_condensed_fin_stmt"/>
      <w:bookmarkEnd w:id="7"/>
      <w:r>
        <w:rPr>
          <w:rFonts w:ascii="Times New Roman" w:hAnsi="Times New Roman"/>
          <w:b/>
          <w:color w:val="000000"/>
          <w:sz w:val="20"/>
        </w:rPr>
        <w:t>NOTES TO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Nature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(f/k/a Roth CH Acquisition IV Co.) and subsidiaries (together, the “Company”) consists of Tigo Energy, Inc. (“Tigo”), its wholly-owned direct and indirect subsidiaries: Tigo Energy MergeCo, Inc. (f/k/a Tigo Energy, Inc.) (“Legacy Tigo”), Tigo Energy Brasil Ltda., Tigo Energy Philippines Inc., Tigo Energy Israel Ltd., Tigo Energy AI Ltd. (f/k/a Foresight Energy, Ltd. (“fSight”)), Tigo Energy Italy SRL, Tigo Energy Equipment Trading (Suzhou) Co., Ltd. and Tigo Energy Australia Pty Ltd. Prior to the consummation of the Business Combination (as defined below), the operations of the Company were conducted through Legacy Tigo. Legacy Tigo was incorporated in Delaware in 2007 and commenced operations in 2010.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By combining its MLPE and solar optimizer technology with intelligent, cloud-based software capabilities, the Company enables advanced energy monitoring, system diagnostics, and real-time control. These smart hardware and software solutions enhance system performance, lower operating costs, and ensure compliance with safety regulations, including rapid shutdown requirements. In addition to MLPE, the Company develops and manufactures inverters and battery storage systems for the residential solar-plus storage market, further expanding its suite of solutions for efficient and reliable energy management. The Company is headquartered in Campbell, California, with offices in Europe, Asia, and the Middle East.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Entry into a Material Definitive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financial statements of the Company represent a continuation of the financial statements of Legacy Tigo with the Business Combination being treated as the equivalent of Legacy Tigo issuing stock for the net assets of ROCG, accompanied by a recapitalization.</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wholly-owned subsidiaries. All intercompany balances and transactions have been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net in the condensed consolidated statements of operations and comprehensive loss and were not material for the three months ended March 31,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March 31, 2025 and its condensed consolidated statements of operations and comprehensive loss, cash flows, and stockholders’ equity for the three months ended March 31, 2025, and 2024. Operating results for the three months ended March 31, 2025, are not necessarily indicative of the results that may be expected for the full year ending December 31, 2025. The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presented herein, do not contain all of the required disclosures under GAAP for annual consolidated financial statements. The condensed consolidated balance sheet as of December 31, 2024, has been derived from the audited consolidated balance sheet as of that date. These unaudited condensed consolidated financial statements should be read in conjunction with the audited consolidated financial statements and notes thereto included in our Annual Report on Form 10-K for the year ended December 31, 2024, which was filed with the SEC on March 20, 2025.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for the year ended December 31, 2024, which are included in the Company’s Annual Report on Form 10-K filed with the SEC on March 20, 2025.</w:t>
      </w:r>
    </w:p>
    <w:p>
      <w:pPr>
        <w:pStyle w:val="TextBody"/>
        <w:bidi w:val="0"/>
        <w:spacing w:before="360" w:after="283"/>
        <w:jc w:val="left"/>
        <w:rPr>
          <w:rFonts w:ascii="Times New Roman" w:hAnsi="Times New Roman"/>
          <w:b/>
          <w:i/>
          <w:color w:val="221F1F"/>
          <w:sz w:val="20"/>
        </w:rPr>
      </w:pPr>
      <w:r>
        <w:rPr>
          <w:rFonts w:ascii="Times New Roman" w:hAnsi="Times New Roman"/>
          <w:b/>
          <w:i/>
          <w:color w:val="221F1F"/>
          <w:sz w:val="20"/>
        </w:rPr>
        <w:t>Liquidity and Going Concern</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 xml:space="preserve">ASU No. 2014-15, “Disclosure of Uncertainties about an Entity’s Ability to Continue as a Going Concern” </w:t>
      </w:r>
      <w:r>
        <w:rPr>
          <w:rFonts w:ascii="Times New Roman" w:hAnsi="Times New Roman"/>
          <w:color w:val="000000"/>
          <w:sz w:val="20"/>
        </w:rPr>
        <w:t xml:space="preserve">(“Subtopic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As of March 31, 2025, the Company had cash and cash equivalents of $8.5 million and negative net working capital, which we define as current assets less current liabilities, of $6.5 million. The Convertible Promissory Note (as defined in Note 7, “Debt,” below), has an aggregate principal amount outstanding of $50.0 million as of March 31, 2025, and a maturity date of January 9, 2026. As of the date of this filing, the Company does not have sufficient cash, cash equivalents and marketable securities to repay this obligation. Management determined as a result of this evaluation, the Company’s current cash, net working capital position, and the upcoming maturity date of its Convertible Promissory Note, raises substantial doubt about the Company’s ability to continue as a going concern.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Company’s plan is to continue exploring options for raising additional capital through a combination of equity financing to supplement the Company’s liquidity and/or refinancing of the Convertible Promissory Note. The Company's ability to raise capital may be constrained by the price of and demand for the Company’s common stock. Additional capital may not be available on favorable terms or at all, and could further dilute our current stockholders. Management cannot conclude as of the date of this filing that its plans are probable of being successfully implemented. There can be no assurance that the Company will be able to raise sufficient additional capital or obtain financing that will provide it with sufficient liquidity to satisfy its Convertible Promissory Note obligation in January 2026.</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condensed consolidated financial statements have been prepared on a basis that assumes the Company will continue as a going concern which contemplates the realization of assets and satisfaction of liabilities and commitments in the ordinary course of business. Accordingly, the accompanying condensed consolidated financial statements do not include any adjustments that might result from the outcome of this uncertainty.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The preparation of the condensed consolidated financial statements, in conformity with GAAP, requires management to </w:t>
      </w:r>
      <w:r>
        <w:rPr>
          <w:rFonts w:ascii="Times New Roman" w:hAnsi="Times New Roman"/>
          <w:color w:val="000000"/>
          <w:sz w:val="20"/>
        </w:rPr>
        <w:t>make estimates and assumptions that affect the reported amounts of assets and liabilities, disclosure of contingent assets and liabilities at the date of the condensed consolidated financial statements and the reported amounts of revenue and expenses during the reporting period. Key estimates in the condensed consolidated financial statements include revenue recognition, fair value of investments, allowance for credit allowances, inventory valuation, impairment of long-lived assets, fair value of acquired intangible assets and goodwill, useful lives of acquired intangible assets and property and equipment, product warranty liabilities, incremental borrowing rate for right of use assets and lease liability, valuation allowance on deferred tax assets, assessment of probability of vesting of performance-based equity awards</w:t>
      </w:r>
      <w:r>
        <w:rPr>
          <w:rFonts w:ascii="Times New Roman" w:hAnsi="Times New Roman"/>
          <w:color w:val="231F20"/>
          <w:sz w:val="20"/>
        </w:rPr>
        <w:t xml:space="preserve"> and stock-based compensation, including the underlying fair value of the common stock. </w:t>
      </w:r>
      <w:r>
        <w:rPr>
          <w:rFonts w:ascii="Times New Roman" w:hAnsi="Times New Roman"/>
          <w:color w:val="000000"/>
          <w:sz w:val="20"/>
        </w:rPr>
        <w:t>These estimates are based on information available as of the date of the financial statements; therefore, actual results could differ materially from those estimates due to risks and uncertainties.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Company’s CODM is the Chief Executive Officer (the “CEO”). The Company has one business activity — the design, development and sale of solar energy optimization solutions. There are no segment managers who are held accountable for operations, operating results or plans for levels or components below the consolidated unit level. Accordingly, management has determined that the Company has a single operating and reportable segment. The CODM assesses performance for the Company, monitors budget versus actual results and determines how to allocate resources based on consolidated net loss as reported in the condensed consolidated statements of operations and comprehensive loss. There are no other significant expense categories regularly provided to the CODM that are not already included in the primary financial statements herein.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 xml:space="preserve">ASU No. 2023-09, “Improvements to Income Tax Disclosures” </w:t>
      </w:r>
      <w:r>
        <w:rPr>
          <w:rFonts w:ascii="Times New Roman" w:hAnsi="Times New Roman"/>
          <w:color w:val="000000"/>
          <w:sz w:val="20"/>
        </w:rPr>
        <w:t>(“Topic 740”).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Early adoption is also permitted for annual financial statements that have not yet been issued or made available for issuance. The Company is currently evaluating the impact that adopting this ASU will have on the Company’s income tax-related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 xml:space="preserve">ASU 2024-03, “Income Statement — Reporting Comprehensive Income — Expense Disaggregation Disclosures </w:t>
      </w:r>
      <w:r>
        <w:rPr>
          <w:rFonts w:ascii="Times New Roman" w:hAnsi="Times New Roman"/>
          <w:color w:val="000000"/>
          <w:sz w:val="20"/>
        </w:rPr>
        <w:t>(“Subtopic 220-40”)</w:t>
      </w:r>
      <w:r>
        <w:rPr>
          <w:rFonts w:ascii="Times New Roman" w:hAnsi="Times New Roman"/>
          <w:i/>
          <w:color w:val="000000"/>
          <w:sz w:val="20"/>
        </w:rPr>
        <w:t xml:space="preserve">: Disaggregation of Income (Loss) Statement Expenses” </w:t>
      </w:r>
      <w:r>
        <w:rPr>
          <w:rFonts w:ascii="Times New Roman" w:hAnsi="Times New Roman"/>
          <w:color w:val="000000"/>
          <w:sz w:val="20"/>
        </w:rPr>
        <w:t xml:space="preserve">(“ASU 2024-03”). ASU 2024-03 requires disaggregation of certain costs and expenses included in each relevant expense caption on the Company’s </w:t>
      </w:r>
      <w:r>
        <w:rPr>
          <w:rFonts w:ascii="Times New Roman" w:hAnsi="Times New Roman"/>
          <w:color w:val="231F20"/>
          <w:sz w:val="20"/>
        </w:rPr>
        <w:t>condensed consolidated statements of operations and comprehensive loss</w:t>
      </w:r>
      <w:r>
        <w:rPr>
          <w:rFonts w:ascii="Times New Roman" w:hAnsi="Times New Roman"/>
          <w:color w:val="000000"/>
          <w:sz w:val="20"/>
        </w:rPr>
        <w:t xml:space="preserve"> in a separate note to the financial statements at each interim and annual reporting period, including amounts of purchases of inventory, 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of adopting ASU 2024-03.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of common stock is computed by dividing net loss by the weighted-average number of shares of common stock outstanding during each period, without consideration for potential dilutive shares of common stock. Diluted net loss per share of common stock is computed by dividing the net loss by the weighted-average number of common share equivalents outstanding for the period determined using the treasury-stock method and if-converted method, as applicable. In periods in which the Company reports a net loss, diluted net loss per share will be the same as basic net loss per share since dilutive shares are not assumed to have been issued if their effect is antidilutive. As a result, for the periods in which the Company experienced a net loss, the weighted-average shares used to calculate both basic and diluted net loss per share are the same.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to common stockholders:</w:t>
      </w:r>
    </w:p>
    <w:tbl>
      <w:tblPr>
        <w:tblW w:w="9759" w:type="dxa"/>
        <w:jc w:val="left"/>
        <w:tblInd w:w="0" w:type="dxa"/>
        <w:tblLayout w:type="fixed"/>
        <w:tblCellMar>
          <w:top w:w="28" w:type="dxa"/>
          <w:left w:w="28" w:type="dxa"/>
          <w:bottom w:w="28" w:type="dxa"/>
          <w:right w:w="28" w:type="dxa"/>
        </w:tblCellMar>
      </w:tblPr>
      <w:tblGrid>
        <w:gridCol w:w="6396"/>
        <w:gridCol w:w="146"/>
        <w:gridCol w:w="211"/>
        <w:gridCol w:w="1036"/>
        <w:gridCol w:w="166"/>
        <w:gridCol w:w="146"/>
        <w:gridCol w:w="211"/>
        <w:gridCol w:w="1036"/>
        <w:gridCol w:w="411"/>
      </w:tblGrid>
      <w:tr>
        <w:trPr/>
        <w:tc>
          <w:tcPr>
            <w:tcW w:w="6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59,374,019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excluded the effect of the below elements from our calculation of diluted loss per share, as their inclusion would have been anti-dilutive. These amounts represent the number of instruments outstanding at the end of the period. </w:t>
      </w:r>
    </w:p>
    <w:p>
      <w:pPr>
        <w:pStyle w:val="TextBody"/>
        <w:bidi w:val="0"/>
        <w:jc w:val="left"/>
        <w:rPr/>
      </w:pPr>
      <w:r>
        <w:rPr/>
        <w:t> </w:t>
      </w:r>
    </w:p>
    <w:tbl>
      <w:tblPr>
        <w:tblW w:w="9349" w:type="dxa"/>
        <w:jc w:val="left"/>
        <w:tblInd w:w="0" w:type="dxa"/>
        <w:tblLayout w:type="fixed"/>
        <w:tblCellMar>
          <w:top w:w="28" w:type="dxa"/>
          <w:left w:w="28" w:type="dxa"/>
          <w:bottom w:w="28" w:type="dxa"/>
          <w:right w:w="28" w:type="dxa"/>
        </w:tblCellMar>
      </w:tblPr>
      <w:tblGrid>
        <w:gridCol w:w="6361"/>
        <w:gridCol w:w="146"/>
        <w:gridCol w:w="146"/>
        <w:gridCol w:w="1036"/>
        <w:gridCol w:w="146"/>
        <w:gridCol w:w="146"/>
        <w:gridCol w:w="146"/>
        <w:gridCol w:w="931"/>
        <w:gridCol w:w="291"/>
      </w:tblGrid>
      <w:tr>
        <w:trPr/>
        <w:tc>
          <w:tcPr>
            <w:tcW w:w="6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performance stock units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1,694,503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5,305,437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10,065,409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6,999,940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its financial assets and liabilities at fair value on a recurring basis using a hierarchy that prioritizes the inputs to valuation techniques used to measure fair value. Authoritative guidance establishes three levels of the fair value hierarchy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3"/>
        <w:gridCol w:w="9562"/>
      </w:tblGrid>
      <w:tr>
        <w:trPr/>
        <w:tc>
          <w:tcPr>
            <w:tcW w:w="643" w:type="dxa"/>
            <w:tcBorders/>
            <w:vAlign w:val="center"/>
          </w:tcPr>
          <w:p>
            <w:pPr>
              <w:pStyle w:val="TableContents"/>
              <w:bidi w:val="0"/>
              <w:spacing w:before="0" w:after="283"/>
              <w:jc w:val="left"/>
              <w:rPr>
                <w:sz w:val="4"/>
                <w:szCs w:val="4"/>
              </w:rPr>
            </w:pPr>
            <w:r>
              <w:rPr>
                <w:sz w:val="4"/>
                <w:szCs w:val="4"/>
              </w:rPr>
            </w:r>
          </w:p>
        </w:tc>
        <w:tc>
          <w:tcPr>
            <w:tcW w:w="9562" w:type="dxa"/>
            <w:tcBorders/>
            <w:vAlign w:val="center"/>
          </w:tcPr>
          <w:p>
            <w:pPr>
              <w:pStyle w:val="TableContents"/>
              <w:bidi w:val="0"/>
              <w:spacing w:before="0" w:after="283"/>
              <w:jc w:val="left"/>
              <w:rPr>
                <w:sz w:val="4"/>
                <w:szCs w:val="4"/>
              </w:rPr>
            </w:pPr>
            <w:r>
              <w:rPr>
                <w:sz w:val="4"/>
                <w:szCs w:val="4"/>
              </w:rPr>
            </w:r>
          </w:p>
        </w:tc>
      </w:tr>
      <w:tr>
        <w:trPr/>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Level 1:</w:t>
            </w:r>
          </w:p>
        </w:tc>
        <w:tc>
          <w:tcPr>
            <w:tcW w:w="95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Quoted market prices in active markets for identical assets or liabilities;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2:</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Quoted prices for similar instruments in active markets; quoted prices for identical or similar instruments in markets that are not active; and model-derived valuations in which significant inputs and significant value drivers are observable in active markets; and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3:</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Fair value measurements derived from valuation techniques in which one or more significant inputs or significant value drivers are unobservable.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rPr/>
      </w:pPr>
      <w:r>
        <w:rPr/>
        <w:t> </w:t>
      </w:r>
    </w:p>
    <w:tbl>
      <w:tblPr>
        <w:tblW w:w="5811"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676"/>
        <w:gridCol w:w="146"/>
        <w:gridCol w:w="146"/>
        <w:gridCol w:w="284"/>
        <w:gridCol w:w="466"/>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2025, there were no transfers between Level 1, Level 2 and Level 3.</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is a summary of the changes in fair value of the Company’s marketable securities as of March 31, 2025, and December 31, 2024, respectively:</w:t>
      </w:r>
    </w:p>
    <w:tbl>
      <w:tblPr>
        <w:tblW w:w="10205" w:type="dxa"/>
        <w:jc w:val="left"/>
        <w:tblInd w:w="0" w:type="dxa"/>
        <w:tblLayout w:type="fixed"/>
        <w:tblCellMar>
          <w:top w:w="28" w:type="dxa"/>
          <w:left w:w="28" w:type="dxa"/>
          <w:bottom w:w="28" w:type="dxa"/>
          <w:right w:w="28" w:type="dxa"/>
        </w:tblCellMar>
      </w:tblPr>
      <w:tblGrid>
        <w:gridCol w:w="4102"/>
        <w:gridCol w:w="146"/>
        <w:gridCol w:w="282"/>
        <w:gridCol w:w="908"/>
        <w:gridCol w:w="146"/>
        <w:gridCol w:w="146"/>
        <w:gridCol w:w="467"/>
        <w:gridCol w:w="767"/>
        <w:gridCol w:w="146"/>
        <w:gridCol w:w="146"/>
        <w:gridCol w:w="444"/>
        <w:gridCol w:w="731"/>
        <w:gridCol w:w="146"/>
        <w:gridCol w:w="146"/>
        <w:gridCol w:w="211"/>
        <w:gridCol w:w="676"/>
        <w:gridCol w:w="595"/>
      </w:tblGrid>
      <w:tr>
        <w:trPr/>
        <w:tc>
          <w:tcPr>
            <w:tcW w:w="4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12"/>
        <w:gridCol w:w="146"/>
        <w:gridCol w:w="321"/>
        <w:gridCol w:w="870"/>
        <w:gridCol w:w="146"/>
        <w:gridCol w:w="146"/>
        <w:gridCol w:w="467"/>
        <w:gridCol w:w="768"/>
        <w:gridCol w:w="146"/>
        <w:gridCol w:w="146"/>
        <w:gridCol w:w="445"/>
        <w:gridCol w:w="732"/>
        <w:gridCol w:w="166"/>
        <w:gridCol w:w="146"/>
        <w:gridCol w:w="229"/>
        <w:gridCol w:w="623"/>
        <w:gridCol w:w="596"/>
      </w:tblGrid>
      <w:tr>
        <w:trPr/>
        <w:tc>
          <w:tcPr>
            <w:tcW w:w="4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2025, all available-for-sale marketable securities consisted of investments that mature within one year. </w:t>
      </w:r>
    </w:p>
    <w:p>
      <w:pPr>
        <w:pStyle w:val="TextBody"/>
        <w:bidi w:val="0"/>
        <w:spacing w:before="36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cash and cash equivalents, marketable securities, accounts receivable, accounts payable, and customer deposits approximate fair value due to their short-term nature. As of March 31, 2025, the fair value and carrying value of the Company’s Convertible Promissory Note (Note 7) was $44.2 million and $42.7 million, respectively. The estimated fair value for the Company’s Convertible Promissory Note was based on discounted expected future cash flows using prevailing interest rates which are Level 3 inputs under the fair value hierarchy.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w:t>
      </w:r>
    </w:p>
    <w:p>
      <w:pPr>
        <w:pStyle w:val="TextBody"/>
        <w:bidi w:val="0"/>
        <w:jc w:val="left"/>
        <w:rPr/>
      </w:pPr>
      <w:r>
        <w:rPr/>
        <w:t> </w:t>
      </w:r>
    </w:p>
    <w:tbl>
      <w:tblPr>
        <w:tblW w:w="4281" w:type="dxa"/>
        <w:jc w:val="left"/>
        <w:tblInd w:w="0" w:type="dxa"/>
        <w:tblLayout w:type="fixed"/>
        <w:tblCellMar>
          <w:top w:w="28" w:type="dxa"/>
          <w:left w:w="28" w:type="dxa"/>
          <w:bottom w:w="28" w:type="dxa"/>
          <w:right w:w="28" w:type="dxa"/>
        </w:tblCellMar>
      </w:tblPr>
      <w:tblGrid>
        <w:gridCol w:w="1546"/>
        <w:gridCol w:w="146"/>
        <w:gridCol w:w="258"/>
        <w:gridCol w:w="827"/>
        <w:gridCol w:w="178"/>
        <w:gridCol w:w="178"/>
        <w:gridCol w:w="258"/>
        <w:gridCol w:w="699"/>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Our net revenues generated from Germany, the United Kingdom, Italy and the Czech Republic represented 15.0%, 14.4%, 10.9%</w:t>
      </w:r>
      <w:r>
        <w:rPr>
          <w:rFonts w:ascii="Times New Roman" w:hAnsi="Times New Roman"/>
          <w:color w:val="000000"/>
          <w:sz w:val="20"/>
        </w:rPr>
        <w:t xml:space="preserve"> </w:t>
      </w:r>
      <w:r>
        <w:rPr>
          <w:rFonts w:ascii="Times New Roman" w:hAnsi="Times New Roman"/>
          <w:color w:val="000000"/>
          <w:sz w:val="16"/>
        </w:rPr>
        <w:t>and 10.6%</w:t>
      </w:r>
      <w:r>
        <w:rPr>
          <w:rFonts w:ascii="Times New Roman" w:hAnsi="Times New Roman"/>
          <w:color w:val="000000"/>
          <w:sz w:val="20"/>
        </w:rPr>
        <w:t xml:space="preserve"> </w:t>
      </w:r>
      <w:r>
        <w:rPr>
          <w:rFonts w:ascii="Times New Roman" w:hAnsi="Times New Roman"/>
          <w:color w:val="000000"/>
          <w:sz w:val="16"/>
        </w:rPr>
        <w:t>of our total net revenue for the three months ended March 31, 2025, respectively.</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200"/>
        <w:jc w:val="both"/>
        <w:rPr>
          <w:rFonts w:ascii="Times New Roman" w:hAnsi="Times New Roman"/>
          <w:sz w:val="20"/>
        </w:rPr>
      </w:pPr>
      <w:r>
        <w:rPr>
          <w:rFonts w:ascii="Times New Roman" w:hAnsi="Times New Roman"/>
          <w:color w:val="000000"/>
          <w:sz w:val="16"/>
        </w:rPr>
        <w:t>Our net revenues generated from the United States represented 22.2%</w:t>
      </w:r>
      <w:r>
        <w:rPr>
          <w:rFonts w:ascii="Times New Roman" w:hAnsi="Times New Roman"/>
          <w:color w:val="000000"/>
          <w:sz w:val="20"/>
        </w:rPr>
        <w:t xml:space="preserve"> </w:t>
      </w:r>
      <w:r>
        <w:rPr>
          <w:rFonts w:ascii="Times New Roman" w:hAnsi="Times New Roman"/>
          <w:color w:val="000000"/>
          <w:sz w:val="16"/>
        </w:rPr>
        <w:t>of our total net revenue for the three months ended March 31, 2025.</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deferred revenue:</w:t>
      </w:r>
    </w:p>
    <w:p>
      <w:pPr>
        <w:pStyle w:val="TextBody"/>
        <w:bidi w:val="0"/>
        <w:jc w:val="both"/>
        <w:rPr/>
      </w:pPr>
      <w:r>
        <w:rPr/>
        <w:t> </w:t>
      </w:r>
    </w:p>
    <w:tbl>
      <w:tblPr>
        <w:tblW w:w="5996" w:type="dxa"/>
        <w:jc w:val="left"/>
        <w:tblInd w:w="0" w:type="dxa"/>
        <w:tblLayout w:type="fixed"/>
        <w:tblCellMar>
          <w:top w:w="28" w:type="dxa"/>
          <w:left w:w="28" w:type="dxa"/>
          <w:bottom w:w="28" w:type="dxa"/>
          <w:right w:w="28" w:type="dxa"/>
        </w:tblCellMar>
      </w:tblPr>
      <w:tblGrid>
        <w:gridCol w:w="3241"/>
        <w:gridCol w:w="146"/>
        <w:gridCol w:w="253"/>
        <w:gridCol w:w="759"/>
        <w:gridCol w:w="199"/>
        <w:gridCol w:w="175"/>
        <w:gridCol w:w="253"/>
        <w:gridCol w:w="759"/>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2025, the Company expects to recognize $1.4 million from remaining performance obligations over a weighted average term of 3.2 years. The Company recognized approximately $0.3 million and $0.2 million in revenue that was included in the beginning contract liabilities balance during the three months ended March 31, 2025, and 2024,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Product Warranty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product warranty liability:</w:t>
      </w:r>
    </w:p>
    <w:p>
      <w:pPr>
        <w:pStyle w:val="TextBody"/>
        <w:bidi w:val="0"/>
        <w:jc w:val="both"/>
        <w:rPr/>
      </w:pPr>
      <w:r>
        <w:rPr/>
        <w:t> </w:t>
      </w:r>
    </w:p>
    <w:tbl>
      <w:tblPr>
        <w:tblW w:w="6586" w:type="dxa"/>
        <w:jc w:val="left"/>
        <w:tblInd w:w="0" w:type="dxa"/>
        <w:tblLayout w:type="fixed"/>
        <w:tblCellMar>
          <w:top w:w="28" w:type="dxa"/>
          <w:left w:w="28" w:type="dxa"/>
          <w:bottom w:w="28" w:type="dxa"/>
          <w:right w:w="28" w:type="dxa"/>
        </w:tblCellMar>
      </w:tblPr>
      <w:tblGrid>
        <w:gridCol w:w="3731"/>
        <w:gridCol w:w="146"/>
        <w:gridCol w:w="270"/>
        <w:gridCol w:w="730"/>
        <w:gridCol w:w="212"/>
        <w:gridCol w:w="186"/>
        <w:gridCol w:w="270"/>
        <w:gridCol w:w="730"/>
        <w:gridCol w:w="31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warranty issued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Supplementary Balance Sheet and Geographic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(in thousands, except useful life data):</w:t>
      </w:r>
    </w:p>
    <w:p>
      <w:pPr>
        <w:pStyle w:val="TextBody"/>
        <w:bidi w:val="0"/>
        <w:jc w:val="both"/>
        <w:rPr/>
      </w:pPr>
      <w:r>
        <w:rPr/>
        <w:t> </w:t>
      </w:r>
    </w:p>
    <w:tbl>
      <w:tblPr>
        <w:tblW w:w="4277" w:type="dxa"/>
        <w:jc w:val="left"/>
        <w:tblInd w:w="0" w:type="dxa"/>
        <w:tblLayout w:type="fixed"/>
        <w:tblCellMar>
          <w:top w:w="28" w:type="dxa"/>
          <w:left w:w="28" w:type="dxa"/>
          <w:bottom w:w="28" w:type="dxa"/>
          <w:right w:w="28" w:type="dxa"/>
        </w:tblCellMar>
      </w:tblPr>
      <w:tblGrid>
        <w:gridCol w:w="1466"/>
        <w:gridCol w:w="146"/>
        <w:gridCol w:w="211"/>
        <w:gridCol w:w="676"/>
        <w:gridCol w:w="146"/>
        <w:gridCol w:w="146"/>
        <w:gridCol w:w="260"/>
        <w:gridCol w:w="835"/>
        <w:gridCol w:w="3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inventory reserve was $22.2 million and $24.1 million as of March 31, 2025, and December 31, 2024, respectively.</w:t>
      </w:r>
    </w:p>
    <w:tbl>
      <w:tblPr>
        <w:tblW w:w="7407" w:type="dxa"/>
        <w:jc w:val="left"/>
        <w:tblInd w:w="0" w:type="dxa"/>
        <w:tblLayout w:type="fixed"/>
        <w:tblCellMar>
          <w:top w:w="28" w:type="dxa"/>
          <w:left w:w="28" w:type="dxa"/>
          <w:bottom w:w="28" w:type="dxa"/>
          <w:right w:w="28" w:type="dxa"/>
        </w:tblCellMar>
      </w:tblPr>
      <w:tblGrid>
        <w:gridCol w:w="2831"/>
        <w:gridCol w:w="146"/>
        <w:gridCol w:w="1651"/>
        <w:gridCol w:w="146"/>
        <w:gridCol w:w="230"/>
        <w:gridCol w:w="625"/>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2025, and 2024 the Company recorded depreciation expense of $0.3 million and $0.2 million, respectively, in the condensed consolidated statements of operations and comprehensive loss.</w:t>
      </w:r>
    </w:p>
    <w:p>
      <w:pPr>
        <w:pStyle w:val="TextBody"/>
        <w:bidi w:val="0"/>
        <w:jc w:val="both"/>
        <w:rPr/>
      </w:pPr>
      <w:r>
        <w:rPr/>
        <w:t> </w:t>
      </w:r>
    </w:p>
    <w:tbl>
      <w:tblPr>
        <w:tblW w:w="6805" w:type="dxa"/>
        <w:jc w:val="left"/>
        <w:tblInd w:w="0" w:type="dxa"/>
        <w:tblLayout w:type="fixed"/>
        <w:tblCellMar>
          <w:top w:w="28" w:type="dxa"/>
          <w:left w:w="28" w:type="dxa"/>
          <w:bottom w:w="28" w:type="dxa"/>
          <w:right w:w="28" w:type="dxa"/>
        </w:tblCellMar>
      </w:tblPr>
      <w:tblGrid>
        <w:gridCol w:w="4026"/>
        <w:gridCol w:w="146"/>
        <w:gridCol w:w="230"/>
        <w:gridCol w:w="625"/>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warehouse and freight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other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Accrued other as of March 31, 2025, and December 31, 2024, primarily consist of accrued expenses related to legal expense, insurance expense and sales discounts.</w:t>
      </w:r>
    </w:p>
    <w:tbl>
      <w:tblPr>
        <w:tblW w:w="6620" w:type="dxa"/>
        <w:jc w:val="left"/>
        <w:tblInd w:w="0" w:type="dxa"/>
        <w:tblLayout w:type="fixed"/>
        <w:tblCellMar>
          <w:top w:w="28" w:type="dxa"/>
          <w:left w:w="28" w:type="dxa"/>
          <w:bottom w:w="28" w:type="dxa"/>
          <w:right w:w="28" w:type="dxa"/>
        </w:tblCellMar>
      </w:tblPr>
      <w:tblGrid>
        <w:gridCol w:w="3901"/>
        <w:gridCol w:w="146"/>
        <w:gridCol w:w="230"/>
        <w:gridCol w:w="625"/>
        <w:gridCol w:w="166"/>
        <w:gridCol w:w="146"/>
        <w:gridCol w:w="274"/>
        <w:gridCol w:w="821"/>
        <w:gridCol w:w="3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charges to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Long-lived assets by Geographic Region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Company’s long-lived assets, which consist of tangible property and equipment, net of depreciation, and operating ROU assets, by geographic region (in thousands):</w:t>
      </w:r>
    </w:p>
    <w:tbl>
      <w:tblPr>
        <w:tblW w:w="4945" w:type="dxa"/>
        <w:jc w:val="left"/>
        <w:tblInd w:w="0" w:type="dxa"/>
        <w:tblLayout w:type="fixed"/>
        <w:tblCellMar>
          <w:top w:w="28" w:type="dxa"/>
          <w:left w:w="28" w:type="dxa"/>
          <w:bottom w:w="28" w:type="dxa"/>
          <w:right w:w="28" w:type="dxa"/>
        </w:tblCellMar>
      </w:tblPr>
      <w:tblGrid>
        <w:gridCol w:w="2166"/>
        <w:gridCol w:w="346"/>
        <w:gridCol w:w="230"/>
        <w:gridCol w:w="625"/>
        <w:gridCol w:w="146"/>
        <w:gridCol w:w="146"/>
        <w:gridCol w:w="294"/>
        <w:gridCol w:w="801"/>
        <w:gridCol w:w="191"/>
      </w:tblGrid>
      <w:tr>
        <w:trP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Long-lived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APAC</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As of March 31, 2025, and December 31, 2024, 28.4%</w:t>
      </w:r>
      <w:r>
        <w:rPr>
          <w:rFonts w:ascii="Times New Roman" w:hAnsi="Times New Roman"/>
          <w:color w:val="000000"/>
          <w:sz w:val="20"/>
        </w:rPr>
        <w:t xml:space="preserve"> </w:t>
      </w:r>
      <w:r>
        <w:rPr>
          <w:rFonts w:ascii="Times New Roman" w:hAnsi="Times New Roman"/>
          <w:color w:val="000000"/>
          <w:sz w:val="16"/>
        </w:rPr>
        <w:t>and 26.6%</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Israel,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sz w:val="20"/>
        </w:rPr>
      </w:pPr>
      <w:r>
        <w:rPr>
          <w:rFonts w:ascii="Times New Roman" w:hAnsi="Times New Roman"/>
          <w:color w:val="000000"/>
          <w:sz w:val="16"/>
        </w:rPr>
        <w:t>As of March 31, 2025, and December 31, 2024, 12.9%</w:t>
      </w:r>
      <w:r>
        <w:rPr>
          <w:rFonts w:ascii="Times New Roman" w:hAnsi="Times New Roman"/>
          <w:color w:val="000000"/>
          <w:sz w:val="20"/>
        </w:rPr>
        <w:t xml:space="preserve"> </w:t>
      </w:r>
      <w:r>
        <w:rPr>
          <w:rFonts w:ascii="Times New Roman" w:hAnsi="Times New Roman"/>
          <w:color w:val="000000"/>
          <w:sz w:val="16"/>
        </w:rPr>
        <w:t>and 16.4%</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the U.S.,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sz w:val="20"/>
        </w:rPr>
      </w:pPr>
      <w:r>
        <w:rPr>
          <w:rFonts w:ascii="Times New Roman" w:hAnsi="Times New Roman"/>
          <w:color w:val="000000"/>
          <w:sz w:val="16"/>
        </w:rPr>
        <w:t>As of March 31, 2025, 34.3%</w:t>
      </w:r>
      <w:r>
        <w:rPr>
          <w:rFonts w:ascii="Times New Roman" w:hAnsi="Times New Roman"/>
          <w:color w:val="000000"/>
          <w:sz w:val="20"/>
        </w:rPr>
        <w:t xml:space="preserve"> </w:t>
      </w:r>
      <w:r>
        <w:rPr>
          <w:rFonts w:ascii="Times New Roman" w:hAnsi="Times New Roman"/>
          <w:color w:val="000000"/>
          <w:sz w:val="16"/>
        </w:rPr>
        <w:t>and 15.5%</w:t>
      </w:r>
      <w:r>
        <w:rPr>
          <w:rFonts w:ascii="Times New Roman" w:hAnsi="Times New Roman"/>
          <w:color w:val="000000"/>
          <w:sz w:val="20"/>
        </w:rPr>
        <w:t xml:space="preserve"> </w:t>
      </w:r>
      <w:r>
        <w:rPr>
          <w:rFonts w:ascii="Times New Roman" w:hAnsi="Times New Roman"/>
          <w:color w:val="000000"/>
          <w:sz w:val="16"/>
        </w:rPr>
        <w:t>of the Company’s total long-lived assets were located in Thailand and China, respectively. As of December 31, 2024, 35.5%</w:t>
      </w:r>
      <w:r>
        <w:rPr>
          <w:rFonts w:ascii="Times New Roman" w:hAnsi="Times New Roman"/>
          <w:color w:val="000000"/>
          <w:sz w:val="20"/>
        </w:rPr>
        <w:t xml:space="preserve"> </w:t>
      </w:r>
      <w:r>
        <w:rPr>
          <w:rFonts w:ascii="Times New Roman" w:hAnsi="Times New Roman"/>
          <w:color w:val="000000"/>
          <w:sz w:val="16"/>
        </w:rPr>
        <w:t>and 13.0%</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Thailand and China,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debt consisted of the following (in thousands):</w:t>
      </w:r>
    </w:p>
    <w:p>
      <w:pPr>
        <w:pStyle w:val="TextBody"/>
        <w:bidi w:val="0"/>
        <w:jc w:val="both"/>
        <w:rPr/>
      </w:pPr>
      <w:r>
        <w:rPr/>
        <w:t> </w:t>
      </w:r>
    </w:p>
    <w:tbl>
      <w:tblPr>
        <w:tblW w:w="9297" w:type="dxa"/>
        <w:jc w:val="left"/>
        <w:tblInd w:w="0" w:type="dxa"/>
        <w:tblLayout w:type="fixed"/>
        <w:tblCellMar>
          <w:top w:w="28" w:type="dxa"/>
          <w:left w:w="28" w:type="dxa"/>
          <w:bottom w:w="28" w:type="dxa"/>
          <w:right w:w="28" w:type="dxa"/>
        </w:tblCellMar>
      </w:tblPr>
      <w:tblGrid>
        <w:gridCol w:w="6286"/>
        <w:gridCol w:w="146"/>
        <w:gridCol w:w="211"/>
        <w:gridCol w:w="736"/>
        <w:gridCol w:w="166"/>
        <w:gridCol w:w="146"/>
        <w:gridCol w:w="260"/>
        <w:gridCol w:w="835"/>
        <w:gridCol w:w="5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short-term debt, net of unamortized debt discount and issuance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debt, net of 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On January 9, 2025, the Convertible Promissory Note was reclassified from non-current liabilities to current liabilities as the maturity date falls within the twelve months of the reporting 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Convertible Promissory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9, 2023, the Company entered into the Note Purchase Agreement (“Note Purchase Agreement”) with L1 Energy Capital Management S.a.r.l. (“L1 Energy”) pursuant to which the Company issued the Convertible Promissory Note in the aggregate principal amount of $50.0 million (the “Convertible Promissory Note”). Outstanding borrowings under the Convertible Promissory Note bears interest at a rate of 5.0% per year. The principal amount of the Convertible Promissory Note is due at the maturity date of January 9, 2026, and interest is payable semiannually. As of March 31, 2025, there was $0.6 million of accrued interest in the condensed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 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shareholders take action looking to the dissolution or liquidation of the Company; 3) the involuntary bankruptcy of 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aggregate principal maturities of debt are as follows as of March 31, 2025 (in thousands):</w:t>
      </w:r>
    </w:p>
    <w:p>
      <w:pPr>
        <w:pStyle w:val="TextBody"/>
        <w:bidi w:val="0"/>
        <w:jc w:val="both"/>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360" w:after="283"/>
        <w:jc w:val="both"/>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the Company may become involved in litigation or legal disputes that are not covered by insurance. While the Company intends to vigorously defend itself with respect to such disputes, any potential outcomes resulting from such claims would be inherently difficult to quantify. The Company makes a provision for a liability relating to legal matters when it is both probable that a liability has been incurred, and the amount of the loss can be reasonably estimated. During the three months ended March 31, 2025, the Company did not record a material loss with respect to any legal claims or other legal matters arising in the normal course of business.</w:t>
      </w:r>
    </w:p>
    <w:p>
      <w:pPr>
        <w:pStyle w:val="TextBody"/>
        <w:bidi w:val="0"/>
        <w:spacing w:before="36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condensed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current estimated fair value of any obligation from these indemnification agreements is minimal; therefore, these condensed consolidated financial statements do not include a liability for potential indemnification-related obligations at March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and Preferred Stock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Common and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As of March 31, 2025, there was no Preferred Stock outstanding.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rPr/>
      </w:pPr>
      <w:r>
        <w:rPr/>
        <w:t> </w:t>
      </w:r>
    </w:p>
    <w:tbl>
      <w:tblPr>
        <w:tblW w:w="8238" w:type="dxa"/>
        <w:jc w:val="left"/>
        <w:tblInd w:w="0" w:type="dxa"/>
        <w:tblLayout w:type="fixed"/>
        <w:tblCellMar>
          <w:top w:w="28" w:type="dxa"/>
          <w:left w:w="28" w:type="dxa"/>
          <w:bottom w:w="28" w:type="dxa"/>
          <w:right w:w="28" w:type="dxa"/>
        </w:tblCellMar>
      </w:tblPr>
      <w:tblGrid>
        <w:gridCol w:w="6121"/>
        <w:gridCol w:w="146"/>
        <w:gridCol w:w="207"/>
        <w:gridCol w:w="1473"/>
        <w:gridCol w:w="29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5,210,843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4,585,199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potential conversion of L1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3,494,141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18,596,044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 November 2024, we entered into an At-The-Market Offering Agreement (the “ATM Agreement”) with Craig-Hallum Capital Group LLC (the “Sales Agent”), allowing for the sale of common stock with an aggregate gross offering price of up to $14.2 million (the “2024 ATM Program”). Under the ATM Agreement, the Sales Agent may sell shares in an “at-the-market” offering under Rule 415(a)(4) of the Securities Act, including sales on Nasdaq or other trading markets, to or through market makers, directly to the Sales Agent as principal, or in negotiated transactions at prevailing market prices. The offering of Shares pursuant to the ATM Agreement will terminate upon (a) five business days’ advance notice from the Company to the Sales Agent or five business days’ advance notice from the Sales Agent to the Company or (b) otherwise by mutual agreement of the parties pursuant to the terms of the ATM Agreement. Sales under the 2024 ATM Program are subject to a maximum commission of up to 3.0% of the gross proceeds per share sold through the Sales Agent. </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The following is a summary of the shares issued under our 2024 ATM Program during the three months ended March 31, 2025 (in thousands except average price per share):</w:t>
      </w:r>
    </w:p>
    <w:tbl>
      <w:tblPr>
        <w:tblW w:w="8279" w:type="dxa"/>
        <w:jc w:val="left"/>
        <w:tblInd w:w="0" w:type="dxa"/>
        <w:tblLayout w:type="fixed"/>
        <w:tblCellMar>
          <w:top w:w="28" w:type="dxa"/>
          <w:left w:w="28" w:type="dxa"/>
          <w:bottom w:w="28" w:type="dxa"/>
          <w:right w:w="28" w:type="dxa"/>
        </w:tblCellMar>
      </w:tblPr>
      <w:tblGrid>
        <w:gridCol w:w="1411"/>
        <w:gridCol w:w="146"/>
        <w:gridCol w:w="167"/>
        <w:gridCol w:w="898"/>
        <w:gridCol w:w="146"/>
        <w:gridCol w:w="146"/>
        <w:gridCol w:w="722"/>
        <w:gridCol w:w="1603"/>
        <w:gridCol w:w="146"/>
        <w:gridCol w:w="146"/>
        <w:gridCol w:w="328"/>
        <w:gridCol w:w="887"/>
        <w:gridCol w:w="146"/>
        <w:gridCol w:w="146"/>
        <w:gridCol w:w="283"/>
        <w:gridCol w:w="767"/>
        <w:gridCol w:w="1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Net Price 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Represents the average price per share after commission.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was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Company adopted the 2023 Equity Incentive Plan (“2023 Plan”) under which the Company may issue stock options to purchase shares of common stock, award restricted stock, restricted stock units (“RSU”), performance stock units (“PSUs”), dividend equivalents, stock appreciation rights, and other stock-based or cash-based awards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four-year period with no cliff vesting. As of March 31, 2025, 706,990 stock options granted under the 2023 Plan had vested and were exercisable. There have been no stock options exercised under the 2023 Plan. The RSUs generally vest over a three-year period, following the date of grant, with a third of the award vesting on each year on the annual anniversary of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at their grant-date fair value and records compensation expense on a straight-line basis over the vesting period of the awards. The Company also measures the PSU awards at their grant-date fair value and assumes that performance goals will be achieved. If the performance goals are not met, no compensation expense is recognized and any recognized compensation expense is reversed. The Company recorded stock-based compensation expense in the following expense categories in its accompanying condensed consolidated statements of operations and comprehensive loss: </w:t>
      </w:r>
    </w:p>
    <w:p>
      <w:pPr>
        <w:pStyle w:val="TextBody"/>
        <w:bidi w:val="0"/>
        <w:jc w:val="both"/>
        <w:rPr/>
      </w:pPr>
      <w:r>
        <w:rPr/>
        <w:t> </w:t>
      </w:r>
    </w:p>
    <w:tbl>
      <w:tblPr>
        <w:tblW w:w="6079" w:type="dxa"/>
        <w:jc w:val="left"/>
        <w:tblInd w:w="0" w:type="dxa"/>
        <w:tblLayout w:type="fixed"/>
        <w:tblCellMar>
          <w:top w:w="28" w:type="dxa"/>
          <w:left w:w="28" w:type="dxa"/>
          <w:bottom w:w="28" w:type="dxa"/>
          <w:right w:w="28" w:type="dxa"/>
        </w:tblCellMar>
      </w:tblPr>
      <w:tblGrid>
        <w:gridCol w:w="2946"/>
        <w:gridCol w:w="346"/>
        <w:gridCol w:w="272"/>
        <w:gridCol w:w="738"/>
        <w:gridCol w:w="188"/>
        <w:gridCol w:w="188"/>
        <w:gridCol w:w="272"/>
        <w:gridCol w:w="738"/>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Option Exchange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12, 2024, the Company commenced an offer to certain eligible employees and directors the opportunity to exchange certain outstanding options to purchase shares of common stock, for new options (“Replacement Options”) to purchase a number of shares of our common stock (the “Option Exchange”). The Option Exchange expired at 11:59 P.M. Eastern Time on December 10, 2024. Pursuant to the terms and conditions of the Option Exchange, the Company accepted for exchange eligible options to purchase an aggregate of 725,028 shares of common stock, representing approximately 96.6% of the total shares of common stock underlying such eligible options. All surrendered options were cancelled effective as of the expiration of the Option Exchange. Effective promptly following the expiration of the Option Exchange, the Company granted Replacement Options to purchase an aggregate of 181,107 shares of common stock under the 2023 Equity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did not recognize additional stock-based compensation expense as a result of the Option Exchange.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three months ended March 31, 2025: </w:t>
      </w:r>
    </w:p>
    <w:p>
      <w:pPr>
        <w:pStyle w:val="TextBody"/>
        <w:bidi w:val="0"/>
        <w:jc w:val="both"/>
        <w:rPr/>
      </w:pPr>
      <w:r>
        <w:rPr/>
        <w:t> </w:t>
      </w:r>
    </w:p>
    <w:tbl>
      <w:tblPr>
        <w:tblW w:w="10106"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336"/>
        <w:gridCol w:w="744"/>
        <w:gridCol w:w="146"/>
        <w:gridCol w:w="146"/>
        <w:gridCol w:w="239"/>
        <w:gridCol w:w="766"/>
        <w:gridCol w:w="146"/>
        <w:gridCol w:w="146"/>
        <w:gridCol w:w="889"/>
        <w:gridCol w:w="178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2025, the total unrecognized compensation expense related to unvested stock option awards was $6.1 million, which the Company expects to recognize over a weighted-average period of 2.7 years. There were no options granted during the three months ended March 31,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in the foreseeable future to pay a dividend on its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the Company’s common stock has not historically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RSU activity for the Plans for the three months ended March 31, 2025:</w:t>
      </w:r>
    </w:p>
    <w:tbl>
      <w:tblPr>
        <w:tblW w:w="7107"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729"/>
        <w:gridCol w:w="161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2025, the total unrecognized compensation expense related to unvested RSUs was $4.8 million, which the Company expects to recognize over a weighted-average period of 1.6 years.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As of March 31, 2025, and December 31, 2024, the Company had an outstanding balance of 1,760,048 PSUs, with a weighted average grant date fair value per share of $1.58. The PSUs vest over a three-year period beginning on January 1, 2025, with one-third of the award eligible to vest at the end of each fiscal year through December 31, 2027, based on the Company’s level of achievement of certain performance-based criteria tied to annual net revenue and adjusted EBITDA targets. The PSUs were valued using the market value of the Company’s Common Stock at the closing market price on the grant date.</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March 31, 2025, the total unrecognized compensation expense related to PSUs that were deemed probable to vest at the end of their respective performance period was $0.1 million, which the Company expects to recognize over a weighted-average period of 0.8 years.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lessee, the Company currently leases office space and vehicles in the United States, Italy, Israel, China, Philippines and Thailand. All of the Company leases are classified as operating leases. The Company has no leases classified as finance or sales-type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leases. For leases with terms greater than 12 months, the Company records the related assets and obligations at the present value of lease payments over the term. Many of the Company’s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five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w:t>
      </w:r>
    </w:p>
    <w:p>
      <w:pPr>
        <w:pStyle w:val="TextBody"/>
        <w:bidi w:val="0"/>
        <w:jc w:val="both"/>
        <w:rPr/>
      </w:pPr>
      <w:r>
        <w:rPr/>
        <w:t> </w:t>
      </w:r>
    </w:p>
    <w:tbl>
      <w:tblPr>
        <w:tblW w:w="4966" w:type="dxa"/>
        <w:jc w:val="left"/>
        <w:tblInd w:w="0" w:type="dxa"/>
        <w:tblLayout w:type="fixed"/>
        <w:tblCellMar>
          <w:top w:w="28" w:type="dxa"/>
          <w:left w:w="28" w:type="dxa"/>
          <w:bottom w:w="28" w:type="dxa"/>
          <w:right w:w="28" w:type="dxa"/>
        </w:tblCellMar>
      </w:tblPr>
      <w:tblGrid>
        <w:gridCol w:w="2031"/>
        <w:gridCol w:w="146"/>
        <w:gridCol w:w="325"/>
        <w:gridCol w:w="649"/>
        <w:gridCol w:w="225"/>
        <w:gridCol w:w="225"/>
        <w:gridCol w:w="325"/>
        <w:gridCol w:w="649"/>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9956" w:type="dxa"/>
        <w:jc w:val="left"/>
        <w:tblInd w:w="0" w:type="dxa"/>
        <w:tblLayout w:type="fixed"/>
        <w:tblCellMar>
          <w:top w:w="28" w:type="dxa"/>
          <w:left w:w="28" w:type="dxa"/>
          <w:bottom w:w="28" w:type="dxa"/>
          <w:right w:w="28" w:type="dxa"/>
        </w:tblCellMar>
      </w:tblPr>
      <w:tblGrid>
        <w:gridCol w:w="7121"/>
        <w:gridCol w:w="146"/>
        <w:gridCol w:w="325"/>
        <w:gridCol w:w="649"/>
        <w:gridCol w:w="225"/>
        <w:gridCol w:w="225"/>
        <w:gridCol w:w="325"/>
        <w:gridCol w:w="649"/>
        <w:gridCol w:w="29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30" w:type="dxa"/>
        <w:jc w:val="left"/>
        <w:tblInd w:w="0" w:type="dxa"/>
        <w:tblLayout w:type="fixed"/>
        <w:tblCellMar>
          <w:top w:w="28" w:type="dxa"/>
          <w:left w:w="28" w:type="dxa"/>
          <w:bottom w:w="28" w:type="dxa"/>
          <w:right w:w="28" w:type="dxa"/>
        </w:tblCellMar>
      </w:tblPr>
      <w:tblGrid>
        <w:gridCol w:w="4116"/>
        <w:gridCol w:w="146"/>
        <w:gridCol w:w="361"/>
        <w:gridCol w:w="899"/>
        <w:gridCol w:w="271"/>
        <w:gridCol w:w="146"/>
        <w:gridCol w:w="430"/>
        <w:gridCol w:w="107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maturities of lease liabilities were as follows as of March 31, 2025:</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2025, the Company had a goodwill balance of $12.2 million. The goodwill balance is related to the acquisition of Tigo Energy AI Ltd (f/k/a Foresight Energy, Ltd. (“fSight”)).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amortization expense related to intangible assets of $0.1 million and $0.1 million for the three months ended March 31, 2025, and 2024, respectively.</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Amortization expense related to intangible assets at March 31, 2025, in each of the next five years and beyond is expected to be incurred as follows:</w:t>
      </w:r>
    </w:p>
    <w:tbl>
      <w:tblPr>
        <w:tblW w:w="2800" w:type="dxa"/>
        <w:jc w:val="left"/>
        <w:tblInd w:w="0" w:type="dxa"/>
        <w:tblLayout w:type="fixed"/>
        <w:tblCellMar>
          <w:top w:w="28" w:type="dxa"/>
          <w:left w:w="28" w:type="dxa"/>
          <w:bottom w:w="28" w:type="dxa"/>
          <w:right w:w="28" w:type="dxa"/>
        </w:tblCellMar>
      </w:tblPr>
      <w:tblGrid>
        <w:gridCol w:w="1681"/>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income tax provision is calculated for an interim period by distinguishing between elements recognized in the income tax provision through applying an estimated annual effective tax rate to a measure of year-to-date operating results referred to as “ordinary income (or loss),” and discretely recognizing specific events referred to as “discrete items” as they occur. The Company’s effective tax rates for the three months ended March 31, 2025, and 2024 differ from the federal statutory rate of 21% principally as a result of valuation allowances expected to be maintained against the Company’s deferred tax assets. Additionally, the Company recorded a discrete tax expense for the three months ended March 31, 2025, of $0.3 million related to the estimated settlement of a foreign tax examination. During three months ended March 31, 2025, the Italian tax authority initiated a tax examination of the Company’s Italian operations. As of March 31, 2025, the tax examination is close to settlement and the Company has accrued the amount that it expects to incur. The Company did not record income tax expense for the three months ended March 31, 2024.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da"/>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2024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including those set forth in Part II, Item 1A, “Risk Factors” in this Quarterly Report on Form 10-Q and in Part I, Item 1A, “Risk Factors” in the 2024 Annual Report. Additionally, our historical results are not necessarily indicative of the results that may be expected for any period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180"/>
        <w:jc w:val="both"/>
        <w:rPr>
          <w:rFonts w:ascii="Times New Roman" w:hAnsi="Times New Roman"/>
          <w:sz w:val="20"/>
        </w:rPr>
      </w:pPr>
      <w:r>
        <w:rPr>
          <w:rFonts w:ascii="Times New Roman" w:hAnsi="Times New Roman"/>
          <w:i/>
          <w:color w:val="000000"/>
          <w:sz w:val="20"/>
        </w:rPr>
        <w:t xml:space="preserve">Trade Tariffs. </w:t>
      </w:r>
      <w:r>
        <w:rPr>
          <w:rFonts w:ascii="Times New Roman" w:hAnsi="Times New Roman"/>
          <w:color w:val="000000"/>
          <w:sz w:val="20"/>
        </w:rPr>
        <w:t>It is uncertain what impact new or existing tariffs, trade restrictions, or retaliatory actions may have on us, the solar industry, and our customers. U.S. net revenue represented 22.2% of our total net revenue for the three months ended March 31, 2025. Substantially all of our MLPE products, which represented 67.4% of U.S. net revenues during the three months ended March 31, 2025, were manufactured in Thailand and future purchases may be subject to a 10% reciprocal import tariff as of the date of this report. In addition, substantially all of our GO ESS products, which represented 21.6% of U.S. net revenues during the three months ended March 31, 2025, were manufactured in China and future purchases may be subject to reciprocal import tariffs of 145% as of the date of this report.</w:t>
      </w:r>
    </w:p>
    <w:p>
      <w:pPr>
        <w:pStyle w:val="TextBody"/>
        <w:bidi w:val="0"/>
        <w:spacing w:before="60" w:after="160"/>
        <w:jc w:val="both"/>
        <w:rPr>
          <w:rFonts w:ascii="Times New Roman" w:hAnsi="Times New Roman"/>
          <w:color w:val="000000"/>
          <w:sz w:val="20"/>
        </w:rPr>
      </w:pPr>
      <w:r>
        <w:rPr>
          <w:rFonts w:ascii="Times New Roman" w:hAnsi="Times New Roman"/>
          <w:color w:val="000000"/>
          <w:sz w:val="20"/>
        </w:rPr>
        <w:t>While we are actively evaluating alternative sourcing strategies, the global supply chain for key hardware components necessary to manufacture our products remains concentrated in regions affected by these trade measures, and identifying qualified suppliers outside of these regions with sufficient capacity and technical expertise remains challenging.</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Any escalation in trade tensions, new or expanded tariffs, or broader geopolitical instability could impact our sourcing flexibility, product pricing, cost structure, and/or customer demand for our product lines. These factors, combined with potential economic softening, could lead to elevated inventory levels and reduced leverage in supplier pricing negotiations. Any of these outcomes could negatively affect our operations, financial performance, and cash flows.</w:t>
      </w:r>
    </w:p>
    <w:p>
      <w:pPr>
        <w:pStyle w:val="TextBody"/>
        <w:bidi w:val="0"/>
        <w:spacing w:before="80" w:after="283"/>
        <w:jc w:val="both"/>
        <w:rPr>
          <w:rFonts w:ascii="Times New Roman" w:hAnsi="Times New Roman"/>
          <w:sz w:val="20"/>
        </w:rPr>
      </w:pPr>
      <w:r>
        <w:rPr>
          <w:rFonts w:ascii="Times New Roman" w:hAnsi="Times New Roman"/>
          <w:i/>
          <w:color w:val="000000"/>
          <w:sz w:val="20"/>
        </w:rPr>
        <w:t>Managing Supply Chain</w:t>
      </w:r>
      <w:r>
        <w:rPr>
          <w:rFonts w:ascii="Times New Roman" w:hAnsi="Times New Roman"/>
          <w:color w:val="000000"/>
          <w:sz w:val="20"/>
        </w:rPr>
        <w:t>. We rely on contract manufacturers and suppliers to produce our components, with a significant portion of our supply chain originating in Thailand and China.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In the event we are unable to mitigate the impact of delays and/or price increases in raw materials, electronic components and freight, as a result of new or existing tariffs, trade restrictions, retaliatory actions, or otherwise, it could delay the manufacturing and delivery of our products, which would adversely impact our cash flows and results of operations, including revenue and gross margin. In addition, in a slowing economic environment in the U.S. and worldwide, our inventory levels may continue to increase due to existing purchase commitments and our ability to negotiate volume pricing discounts may be impaired.</w:t>
      </w:r>
    </w:p>
    <w:p>
      <w:pPr>
        <w:pStyle w:val="TextBody"/>
        <w:bidi w:val="0"/>
        <w:spacing w:before="240" w:after="283"/>
        <w:jc w:val="both"/>
        <w:rPr>
          <w:rFonts w:ascii="Times New Roman" w:hAnsi="Times New Roman"/>
          <w:sz w:val="20"/>
        </w:rPr>
      </w:pPr>
      <w:r>
        <w:rPr>
          <w:rFonts w:ascii="Times New Roman" w:hAnsi="Times New Roman"/>
          <w:i/>
          <w:color w:val="000000"/>
          <w:sz w:val="20"/>
        </w:rPr>
        <w:t>Demand for Products.</w:t>
      </w:r>
      <w:r>
        <w:rPr>
          <w:rFonts w:ascii="Times New Roman" w:hAnsi="Times New Roman"/>
          <w:color w:val="000000"/>
          <w:sz w:val="20"/>
        </w:rPr>
        <w:t xml:space="preserve"> The demand for our products in Europe and the United States experienced a notable slowdown beginning in the second quarter in 2023 and continued into 2024. Although our net revenue has increased on a sequential basis in each quarter of 2024 and continuing into the first quarter of 2025, our quarterly and year-to-date results have remained substantially lower than comparable periods prior to the slowdown. In Europe, the slowdown was primarily due to elevated inventory levels with distributors and an overall channel inventory correction as they responded to a slower demand environment. Additionally, there has been uncertainty surrounding the net energy metering policies and solar export penalties in the European markets, such as Germany, Belgium, Italy and the United Kingdom, which also contributed to the overall slowdown in demand in Europe. In the United States, the slowdown was primarily attributable due to higher interest rates than recent prior periods and the transition from the second iteration of net metering (“NEM 2.0”) to the third iteration of net metering (“NEM 3.0”) in California.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these factors, we recognized inventory charges of $23.5 million to write down inventories to their estimated net realizable value during the year ended December 31, 2024. The charge was primarily related to slow-moving inventory within the GO ESS line of energy storage solutions.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response to the factors noted above, we reduced staffing levels across all geographies in December 2023 by approximately 15%, and in April 2024 by approximately 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write-downs of inventories and additional cost reduction measures in future quarters could occur if market conditions do not improve or further deteriorate which could continue to have an adverse effect on our results of operations in 2025. </w:t>
      </w:r>
    </w:p>
    <w:p>
      <w:pPr>
        <w:pStyle w:val="TextBody"/>
        <w:bidi w:val="0"/>
        <w:spacing w:before="240" w:after="283"/>
        <w:jc w:val="both"/>
        <w:rPr>
          <w:rFonts w:ascii="Times New Roman" w:hAnsi="Times New Roman"/>
          <w:sz w:val="20"/>
        </w:rPr>
      </w:pPr>
      <w:r>
        <w:rPr>
          <w:rFonts w:ascii="Times New Roman" w:hAnsi="Times New Roman"/>
          <w:i/>
          <w:color w:val="000000"/>
          <w:sz w:val="20"/>
        </w:rPr>
        <w:t>Unfavorable Macroeconomic and Market Conditions.</w:t>
      </w:r>
      <w:r>
        <w:rPr>
          <w:rFonts w:ascii="Times New Roman" w:hAnsi="Times New Roman"/>
          <w:color w:val="000000"/>
          <w:sz w:val="20"/>
        </w:rPr>
        <w:t xml:space="preserve"> The global macroeconomic and market uncertainty, including higher interest rates and inflation, has caused disruptions in financial markets and may continue to have an adverse effect on the U.S. and world economies. Since the second quarter of 2023, we have experienced a significant number of customer requests to delay purchase order deliveries and a smaller number of purchase order cancellations and returns. Other customers may decide to delay purchasing our products and services or not purchase at all. A tighter credit market for consumer and business spending could, in turn, adversely affect the spending levels of installers and end users and lead to increased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Expansion of Sales with Existing Customers and Adding New Customers. </w:t>
      </w:r>
      <w:r>
        <w:rPr>
          <w:rFonts w:ascii="Times New Roman" w:hAnsi="Times New Roman"/>
          <w:color w:val="000000"/>
          <w:sz w:val="20"/>
        </w:rPr>
        <w:t xml:space="preserve">Our ability to grow our revenue is, in part, dependent on our ability to expand product offerings and services in the U.S. residential market. In our North American market, revenue is generally generated from our product offerings and services in the commercial and industrial markets. We plan to expand our presence in the residential market through offerings with residential solar providers. We also expect to continue to evaluate and invest in new market opportunities internationally. We believe that our entry into new markets will continue to facilitate revenue growth and customer diversification. We primarily acquire new customers through collaboration with our industry partners and distributors. While we expect that a substantial portion of our future revenues in the near-term will be generated from our existing customers, we expect to invest in our sales and marketing to broaden reach with new residential customers in the U.S. and EMEA. </w:t>
      </w:r>
    </w:p>
    <w:p>
      <w:pPr>
        <w:pStyle w:val="TextBody"/>
        <w:bidi w:val="0"/>
        <w:spacing w:before="240" w:after="283"/>
        <w:jc w:val="both"/>
        <w:rPr>
          <w:rFonts w:ascii="Times New Roman" w:hAnsi="Times New Roman"/>
          <w:sz w:val="20"/>
        </w:rPr>
      </w:pPr>
      <w:r>
        <w:rPr>
          <w:rFonts w:ascii="Times New Roman" w:hAnsi="Times New Roman"/>
          <w:i/>
          <w:color w:val="000000"/>
          <w:sz w:val="20"/>
        </w:rPr>
        <w:t>Expansion of New Products and Services.</w:t>
      </w:r>
      <w:r>
        <w:rPr>
          <w:rFonts w:ascii="Times New Roman" w:hAnsi="Times New Roman"/>
          <w:color w:val="000000"/>
          <w:sz w:val="20"/>
        </w:rPr>
        <w:t xml:space="preserve"> We have made substantial investments in research and development and sales and marketing to achieve a leading position in our market and revenue growth. While a substantial majority of our revenue is generated from the sale of our MLPE products, we also generate a small portion of revenue from our offerings of GO Energy Storage Systems (“GO ESS”) and Predict+ service, and the Company intends to continue developing and promoting these product and service lines.</w:t>
      </w:r>
    </w:p>
    <w:p>
      <w:pPr>
        <w:pStyle w:val="Heading2"/>
        <w:bidi w:val="0"/>
        <w:spacing w:before="360" w:after="120"/>
        <w:jc w:val="both"/>
        <w:rPr>
          <w:rFonts w:ascii="Times New Roman" w:hAnsi="Times New Roman"/>
          <w:b/>
          <w:color w:val="000000"/>
          <w:sz w:val="20"/>
        </w:rPr>
      </w:pPr>
      <w:r>
        <w:rPr>
          <w:rFonts w:ascii="Times New Roman" w:hAnsi="Times New Roman"/>
          <w:b/>
          <w:color w:val="000000"/>
          <w:sz w:val="20"/>
        </w:rPr>
        <w:t>Key Operating and Financial Metrics</w:t>
      </w:r>
    </w:p>
    <w:p>
      <w:pPr>
        <w:pStyle w:val="TextBody"/>
        <w:bidi w:val="0"/>
        <w:jc w:val="both"/>
        <w:rPr>
          <w:rFonts w:ascii="Times New Roman" w:hAnsi="Times New Roman"/>
          <w:color w:val="000000"/>
          <w:sz w:val="20"/>
        </w:rPr>
      </w:pPr>
      <w:r>
        <w:rPr>
          <w:rFonts w:ascii="Times New Roman" w:hAnsi="Times New Roman"/>
          <w:color w:val="000000"/>
          <w:sz w:val="20"/>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our public competitors and are regularly used by securities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these metrics for the periods presented: </w:t>
      </w:r>
    </w:p>
    <w:p>
      <w:pPr>
        <w:pStyle w:val="TextBody"/>
        <w:bidi w:val="0"/>
        <w:jc w:val="left"/>
        <w:rPr/>
      </w:pPr>
      <w:r>
        <w:rPr/>
        <w:t> </w:t>
      </w:r>
    </w:p>
    <w:tbl>
      <w:tblPr>
        <w:tblW w:w="7497" w:type="dxa"/>
        <w:jc w:val="left"/>
        <w:tblInd w:w="0" w:type="dxa"/>
        <w:tblLayout w:type="fixed"/>
        <w:tblCellMar>
          <w:top w:w="28" w:type="dxa"/>
          <w:left w:w="28" w:type="dxa"/>
          <w:bottom w:w="28" w:type="dxa"/>
          <w:right w:w="28" w:type="dxa"/>
        </w:tblCellMar>
      </w:tblPr>
      <w:tblGrid>
        <w:gridCol w:w="2596"/>
        <w:gridCol w:w="146"/>
        <w:gridCol w:w="228"/>
        <w:gridCol w:w="701"/>
        <w:gridCol w:w="298"/>
        <w:gridCol w:w="170"/>
        <w:gridCol w:w="228"/>
        <w:gridCol w:w="771"/>
        <w:gridCol w:w="256"/>
        <w:gridCol w:w="146"/>
        <w:gridCol w:w="196"/>
        <w:gridCol w:w="511"/>
        <w:gridCol w:w="146"/>
        <w:gridCol w:w="146"/>
        <w:gridCol w:w="146"/>
        <w:gridCol w:w="51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18,839</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(7,001</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Gross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gross profit as total net revenue less cost of revenue, and define gross margin, expressed as a percentage, as the ratio of gross profit to revenue. Gross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color w:val="000000"/>
          <w:sz w:val="20"/>
        </w:rPr>
      </w:pPr>
      <w:r>
        <w:rPr>
          <w:rFonts w:ascii="Times New Roman" w:hAnsi="Times New Roman"/>
          <w:b/>
          <w:color w:val="000000"/>
          <w:sz w:val="20"/>
        </w:rPr>
        <w:t>Key Components and Comparison of Results of Operations</w:t>
      </w:r>
    </w:p>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Net Revenue</w:t>
      </w:r>
    </w:p>
    <w:p>
      <w:pPr>
        <w:pStyle w:val="Heading2"/>
        <w:bidi w:val="0"/>
        <w:jc w:val="left"/>
        <w:rPr/>
      </w:pPr>
      <w:r>
        <w:rPr/>
        <w:t> </w:t>
      </w:r>
    </w:p>
    <w:tbl>
      <w:tblPr>
        <w:tblW w:w="7301" w:type="dxa"/>
        <w:jc w:val="left"/>
        <w:tblInd w:w="0" w:type="dxa"/>
        <w:tblLayout w:type="fixed"/>
        <w:tblCellMar>
          <w:top w:w="28" w:type="dxa"/>
          <w:left w:w="28" w:type="dxa"/>
          <w:bottom w:w="28" w:type="dxa"/>
          <w:right w:w="28" w:type="dxa"/>
        </w:tblCellMar>
      </w:tblPr>
      <w:tblGrid>
        <w:gridCol w:w="2596"/>
        <w:gridCol w:w="146"/>
        <w:gridCol w:w="262"/>
        <w:gridCol w:w="803"/>
        <w:gridCol w:w="195"/>
        <w:gridCol w:w="195"/>
        <w:gridCol w:w="262"/>
        <w:gridCol w:w="683"/>
        <w:gridCol w:w="146"/>
        <w:gridCol w:w="146"/>
        <w:gridCol w:w="196"/>
        <w:gridCol w:w="511"/>
        <w:gridCol w:w="146"/>
        <w:gridCol w:w="146"/>
        <w:gridCol w:w="146"/>
        <w:gridCol w:w="42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2025, and 2024</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Net revenue increased by $9.0 million or 92.2% for the three months ended March 31, 2025, as compared to the same period in 2024, which is driven primarily by an increase of $8.0 million or 101.2% in net revenue from our MLPE product line, in addition to an increase of $0.7 million or 49.3% in net revenue from our GO ESS product line. The increase is primarily due to a continued recovery in sales that began in the first quarter of 2024 following an industry-wide macroeconomic slowdown that began in the second half of 2023. Please see the section below for a discussion of the factors influencing the fluctuations in net revenue for each of our geographic regions.</w:t>
      </w:r>
    </w:p>
    <w:tbl>
      <w:tblPr>
        <w:tblW w:w="7391" w:type="dxa"/>
        <w:jc w:val="left"/>
        <w:tblInd w:w="0" w:type="dxa"/>
        <w:tblLayout w:type="fixed"/>
        <w:tblCellMar>
          <w:top w:w="28" w:type="dxa"/>
          <w:left w:w="28" w:type="dxa"/>
          <w:bottom w:w="28" w:type="dxa"/>
          <w:right w:w="28" w:type="dxa"/>
        </w:tblCellMar>
      </w:tblPr>
      <w:tblGrid>
        <w:gridCol w:w="2596"/>
        <w:gridCol w:w="146"/>
        <w:gridCol w:w="262"/>
        <w:gridCol w:w="803"/>
        <w:gridCol w:w="195"/>
        <w:gridCol w:w="195"/>
        <w:gridCol w:w="262"/>
        <w:gridCol w:w="683"/>
        <w:gridCol w:w="146"/>
        <w:gridCol w:w="146"/>
        <w:gridCol w:w="196"/>
        <w:gridCol w:w="511"/>
        <w:gridCol w:w="146"/>
        <w:gridCol w:w="146"/>
        <w:gridCol w:w="146"/>
        <w:gridCol w:w="51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2025, and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EMEA - Net revenue for the EMEA region increased by $5.8 million or 99.6% for the three months ended March 31, 2025, as compared to the same period in 2024, which is driven primarily by an increase of $5.0 million and $0.7 million in net revenue from our MLPE and GO ESS product lines, respectively. The growth was primarily driven by higher demand of our MLPE products in the United Kingdom, Germany and Italy, in addition to the sale of $1.0 million of GO ESS product to a customer in Italy.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Americas - Net revenue for the Americas region increased by $2.0 million or 72.4% for the three months ended March 31, 2025, as compared to the same period in 2024, which is driven primarily by an increase of $1.8 million in net revenue from our MLPE product line. This growth was primarily driven by higher demand of our MLPE products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APAC - Net revenue for the APAC region increased by $1.3 million or 101.4% for the three months ended March 31, 2025, as compared to the same period in 2024, which is driven primarily by an increase of $1.3 million in net revenue from our MLPE product line. This growth was primarily driven by higher demand of our MLPE products in China and Thailand.</w:t>
      </w:r>
    </w:p>
    <w:p>
      <w:pPr>
        <w:pStyle w:val="Heading2"/>
        <w:bidi w:val="0"/>
        <w:spacing w:before="360" w:after="283"/>
        <w:jc w:val="both"/>
        <w:rPr>
          <w:rFonts w:ascii="Times New Roman" w:hAnsi="Times New Roman"/>
          <w:b/>
          <w:i/>
          <w:color w:val="000000"/>
          <w:sz w:val="20"/>
        </w:rPr>
      </w:pPr>
      <w:r>
        <w:rPr>
          <w:rFonts w:ascii="Times New Roman" w:hAnsi="Times New Roman"/>
          <w:b/>
          <w:i/>
          <w:color w:val="000000"/>
          <w:sz w:val="20"/>
        </w:rPr>
        <w:t>Cost of Revenues and Gross Profit</w:t>
      </w:r>
    </w:p>
    <w:p>
      <w:pPr>
        <w:pStyle w:val="Heading2"/>
        <w:bidi w:val="0"/>
        <w:jc w:val="left"/>
        <w:rPr/>
      </w:pPr>
      <w:r>
        <w:rPr/>
        <w:t> </w:t>
      </w:r>
    </w:p>
    <w:tbl>
      <w:tblPr>
        <w:tblW w:w="7498" w:type="dxa"/>
        <w:jc w:val="left"/>
        <w:tblInd w:w="0" w:type="dxa"/>
        <w:tblLayout w:type="fixed"/>
        <w:tblCellMar>
          <w:top w:w="28" w:type="dxa"/>
          <w:left w:w="28" w:type="dxa"/>
          <w:bottom w:w="28" w:type="dxa"/>
          <w:right w:w="28" w:type="dxa"/>
        </w:tblCellMar>
      </w:tblPr>
      <w:tblGrid>
        <w:gridCol w:w="2596"/>
        <w:gridCol w:w="146"/>
        <w:gridCol w:w="246"/>
        <w:gridCol w:w="757"/>
        <w:gridCol w:w="322"/>
        <w:gridCol w:w="183"/>
        <w:gridCol w:w="246"/>
        <w:gridCol w:w="643"/>
        <w:gridCol w:w="256"/>
        <w:gridCol w:w="146"/>
        <w:gridCol w:w="196"/>
        <w:gridCol w:w="511"/>
        <w:gridCol w:w="146"/>
        <w:gridCol w:w="146"/>
        <w:gridCol w:w="146"/>
        <w:gridCol w:w="51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11,666</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7,173</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2025, and 2024</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Cost of revenues increased by $4.6 million or 65.8% and gross profit increased by $4.4 million or 159.3% for the three months ended March 31, 2025, as compared to the same period in 2024, which is primarily driven by a 92.2% increase in net revenue for the three months ended March 31, 2025, compared to the same periods in 2024. In addition to higher net revenue, the increase was driven by a $1.7 million increase in product warranty expense which was primarily driven by a change in estimate in service delivery costs that were higher due to current macroeconomic conditions. The increase was partially offset due to a portion of the higher net revenue including sales of previously impaired GO ESS inventory during the three months ended March 31, 2025.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Gross margin increased by 9.9 percentage points for the three months ended March 31, 2025, as compared to the same periods in 2024. The increase is primarily due to an increase in net revenue, with a portion of those sales including previously impaired GO ESS inventory.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Heading2"/>
        <w:bidi w:val="0"/>
        <w:jc w:val="both"/>
        <w:rPr/>
      </w:pPr>
      <w:r>
        <w:rPr/>
        <w:t> </w:t>
      </w:r>
    </w:p>
    <w:tbl>
      <w:tblPr>
        <w:tblW w:w="7475" w:type="dxa"/>
        <w:jc w:val="left"/>
        <w:tblInd w:w="0" w:type="dxa"/>
        <w:tblLayout w:type="fixed"/>
        <w:tblCellMar>
          <w:top w:w="28" w:type="dxa"/>
          <w:left w:w="28" w:type="dxa"/>
          <w:bottom w:w="28" w:type="dxa"/>
          <w:right w:w="28" w:type="dxa"/>
        </w:tblCellMar>
      </w:tblPr>
      <w:tblGrid>
        <w:gridCol w:w="2596"/>
        <w:gridCol w:w="146"/>
        <w:gridCol w:w="259"/>
        <w:gridCol w:w="675"/>
        <w:gridCol w:w="338"/>
        <w:gridCol w:w="193"/>
        <w:gridCol w:w="259"/>
        <w:gridCol w:w="675"/>
        <w:gridCol w:w="256"/>
        <w:gridCol w:w="146"/>
        <w:gridCol w:w="196"/>
        <w:gridCol w:w="436"/>
        <w:gridCol w:w="166"/>
        <w:gridCol w:w="146"/>
        <w:gridCol w:w="146"/>
        <w:gridCol w:w="48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decreased by $0.3 million or 12.4% for the three months ended March 31, 2025, as compared to the same period in 2024. The decrease is attributed to reduced payroll expense resulting from a lower headcount during the three months ended March 31, 2025, compared to the same period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amount of research and development expenses may fluctuate from period to period due to differing levels and stages of development activity. </w:t>
      </w:r>
    </w:p>
    <w:p>
      <w:pPr>
        <w:pStyle w:val="Heading2"/>
        <w:bidi w:val="0"/>
        <w:spacing w:before="360" w:after="283"/>
        <w:jc w:val="both"/>
        <w:rPr>
          <w:rFonts w:ascii="Times New Roman" w:hAnsi="Times New Roman"/>
          <w:b/>
          <w:i/>
          <w:color w:val="000000"/>
          <w:sz w:val="20"/>
        </w:rPr>
      </w:pPr>
      <w:r>
        <w:rPr>
          <w:rFonts w:ascii="Times New Roman" w:hAnsi="Times New Roman"/>
          <w:b/>
          <w:i/>
          <w:color w:val="000000"/>
          <w:sz w:val="20"/>
        </w:rPr>
        <w:t>Sales and Marketing</w:t>
      </w:r>
    </w:p>
    <w:p>
      <w:pPr>
        <w:pStyle w:val="Heading2"/>
        <w:bidi w:val="0"/>
        <w:jc w:val="left"/>
        <w:rPr/>
      </w:pPr>
      <w:r>
        <w:rPr/>
        <w:t> </w:t>
      </w:r>
    </w:p>
    <w:tbl>
      <w:tblPr>
        <w:tblW w:w="7475" w:type="dxa"/>
        <w:jc w:val="left"/>
        <w:tblInd w:w="0" w:type="dxa"/>
        <w:tblLayout w:type="fixed"/>
        <w:tblCellMar>
          <w:top w:w="28" w:type="dxa"/>
          <w:left w:w="28" w:type="dxa"/>
          <w:bottom w:w="28" w:type="dxa"/>
          <w:right w:w="28" w:type="dxa"/>
        </w:tblCellMar>
      </w:tblPr>
      <w:tblGrid>
        <w:gridCol w:w="2596"/>
        <w:gridCol w:w="146"/>
        <w:gridCol w:w="259"/>
        <w:gridCol w:w="675"/>
        <w:gridCol w:w="338"/>
        <w:gridCol w:w="193"/>
        <w:gridCol w:w="259"/>
        <w:gridCol w:w="675"/>
        <w:gridCol w:w="256"/>
        <w:gridCol w:w="146"/>
        <w:gridCol w:w="196"/>
        <w:gridCol w:w="436"/>
        <w:gridCol w:w="166"/>
        <w:gridCol w:w="146"/>
        <w:gridCol w:w="146"/>
        <w:gridCol w:w="48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decreased by $0.7 million or 14.9% for the three months ended March 31, 2025, as compared to the same period in 2024. The decrease is attributed to reduced payroll expense resulting from a lower headcount during the three months ended March 31, 2025, compared to the same period in 2024.</w:t>
      </w:r>
    </w:p>
    <w:p>
      <w:pPr>
        <w:pStyle w:val="Heading2"/>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w:t>
      </w:r>
    </w:p>
    <w:p>
      <w:pPr>
        <w:pStyle w:val="Heading2"/>
        <w:bidi w:val="0"/>
        <w:jc w:val="left"/>
        <w:rPr/>
      </w:pPr>
      <w:r>
        <w:rPr/>
        <w:t> </w:t>
      </w:r>
    </w:p>
    <w:tbl>
      <w:tblPr>
        <w:tblW w:w="7185" w:type="dxa"/>
        <w:jc w:val="left"/>
        <w:tblInd w:w="0" w:type="dxa"/>
        <w:tblLayout w:type="fixed"/>
        <w:tblCellMar>
          <w:top w:w="28" w:type="dxa"/>
          <w:left w:w="28" w:type="dxa"/>
          <w:bottom w:w="28" w:type="dxa"/>
          <w:right w:w="28" w:type="dxa"/>
        </w:tblCellMar>
      </w:tblPr>
      <w:tblGrid>
        <w:gridCol w:w="2596"/>
        <w:gridCol w:w="146"/>
        <w:gridCol w:w="259"/>
        <w:gridCol w:w="675"/>
        <w:gridCol w:w="338"/>
        <w:gridCol w:w="193"/>
        <w:gridCol w:w="259"/>
        <w:gridCol w:w="675"/>
        <w:gridCol w:w="256"/>
        <w:gridCol w:w="146"/>
        <w:gridCol w:w="196"/>
        <w:gridCol w:w="376"/>
        <w:gridCol w:w="146"/>
        <w:gridCol w:w="146"/>
        <w:gridCol w:w="146"/>
        <w:gridCol w:w="33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5,070</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 increased by $0.3 million or 6.1% for the three months ended March 31, 2025, as compared to the same period in 2024, primarily due to the collection of accounts receivable that were previously reserved for as bad debt expense during the three months ended March 31, 2024, and is partially offset by decreases in insurance expense and professional fees during the three months ended March 31, 2025, compared to same period in 2024. </w:t>
      </w:r>
    </w:p>
    <w:p>
      <w:pPr>
        <w:pStyle w:val="Heading2"/>
        <w:bidi w:val="0"/>
        <w:spacing w:before="360" w:after="283"/>
        <w:jc w:val="both"/>
        <w:rPr>
          <w:rFonts w:ascii="Times New Roman" w:hAnsi="Times New Roman"/>
          <w:b/>
          <w:i/>
          <w:color w:val="000000"/>
          <w:sz w:val="20"/>
        </w:rPr>
      </w:pPr>
      <w:r>
        <w:rPr>
          <w:rFonts w:ascii="Times New Roman" w:hAnsi="Times New Roman"/>
          <w:b/>
          <w:i/>
          <w:color w:val="000000"/>
          <w:sz w:val="20"/>
        </w:rPr>
        <w:t>Other Expenses, Net</w:t>
      </w:r>
    </w:p>
    <w:p>
      <w:pPr>
        <w:pStyle w:val="Heading2"/>
        <w:bidi w:val="0"/>
        <w:jc w:val="left"/>
        <w:rPr/>
      </w:pPr>
      <w:r>
        <w:rPr/>
        <w:t> </w:t>
      </w:r>
    </w:p>
    <w:tbl>
      <w:tblPr>
        <w:tblW w:w="8173" w:type="dxa"/>
        <w:jc w:val="left"/>
        <w:tblInd w:w="0" w:type="dxa"/>
        <w:tblLayout w:type="fixed"/>
        <w:tblCellMar>
          <w:top w:w="28" w:type="dxa"/>
          <w:left w:w="28" w:type="dxa"/>
          <w:bottom w:w="28" w:type="dxa"/>
          <w:right w:w="28" w:type="dxa"/>
        </w:tblCellMar>
      </w:tblPr>
      <w:tblGrid>
        <w:gridCol w:w="3586"/>
        <w:gridCol w:w="146"/>
        <w:gridCol w:w="272"/>
        <w:gridCol w:w="710"/>
        <w:gridCol w:w="230"/>
        <w:gridCol w:w="203"/>
        <w:gridCol w:w="272"/>
        <w:gridCol w:w="710"/>
        <w:gridCol w:w="166"/>
        <w:gridCol w:w="146"/>
        <w:gridCol w:w="196"/>
        <w:gridCol w:w="376"/>
        <w:gridCol w:w="146"/>
        <w:gridCol w:w="146"/>
        <w:gridCol w:w="146"/>
        <w:gridCol w:w="421"/>
        <w:gridCol w:w="30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contingent shares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 in fair value of contingent shares liability for the three months ended March 31, 2024, was attributable to the revaluation of the contingent shares at each reporting period based on the Company’s share price as of the revaluation date. The final release of the contingent shares occurred on July 25,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increased by a de minimis amount for the three months ended March 31, 2025, as compared to the same period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decreased by a de minimis amount for the three months ended March 31, 2025, as compared to the same period in 2024.</w:t>
      </w:r>
    </w:p>
    <w:p>
      <w:pPr>
        <w:pStyle w:val="Heading2"/>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Heading2"/>
        <w:bidi w:val="0"/>
        <w:jc w:val="both"/>
        <w:rPr/>
      </w:pPr>
      <w:r>
        <w:rPr/>
        <w:t> </w:t>
      </w:r>
    </w:p>
    <w:tbl>
      <w:tblPr>
        <w:tblW w:w="6717" w:type="dxa"/>
        <w:jc w:val="left"/>
        <w:tblInd w:w="0" w:type="dxa"/>
        <w:tblLayout w:type="fixed"/>
        <w:tblCellMar>
          <w:top w:w="28" w:type="dxa"/>
          <w:left w:w="28" w:type="dxa"/>
          <w:bottom w:w="28" w:type="dxa"/>
          <w:right w:w="28" w:type="dxa"/>
        </w:tblCellMar>
      </w:tblPr>
      <w:tblGrid>
        <w:gridCol w:w="2596"/>
        <w:gridCol w:w="146"/>
        <w:gridCol w:w="334"/>
        <w:gridCol w:w="642"/>
        <w:gridCol w:w="249"/>
        <w:gridCol w:w="249"/>
        <w:gridCol w:w="334"/>
        <w:gridCol w:w="590"/>
        <w:gridCol w:w="146"/>
        <w:gridCol w:w="146"/>
        <w:gridCol w:w="196"/>
        <w:gridCol w:w="376"/>
        <w:gridCol w:w="146"/>
        <w:gridCol w:w="146"/>
        <w:gridCol w:w="42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2025, and 2024</w:t>
      </w:r>
    </w:p>
    <w:p>
      <w:pPr>
        <w:pStyle w:val="TextBody"/>
        <w:bidi w:val="0"/>
        <w:spacing w:before="120" w:after="283"/>
        <w:jc w:val="both"/>
        <w:rPr>
          <w:rFonts w:ascii="Times New Roman" w:hAnsi="Times New Roman"/>
          <w:sz w:val="20"/>
        </w:rPr>
      </w:pPr>
      <w:r>
        <w:rPr>
          <w:rFonts w:ascii="Times New Roman" w:hAnsi="Times New Roman"/>
          <w:color w:val="000000"/>
          <w:sz w:val="20"/>
        </w:rPr>
        <w:t>Income tax expense increased $0.3 million for the three months ended March 31, 2025</w:t>
      </w:r>
      <w:r>
        <w:rPr>
          <w:rFonts w:ascii="Times New Roman" w:hAnsi="Times New Roman"/>
          <w:i/>
          <w:color w:val="000000"/>
          <w:sz w:val="20"/>
        </w:rPr>
        <w:t xml:space="preserve">, </w:t>
      </w:r>
      <w:r>
        <w:rPr>
          <w:rFonts w:ascii="Times New Roman" w:hAnsi="Times New Roman"/>
          <w:color w:val="000000"/>
          <w:sz w:val="20"/>
        </w:rPr>
        <w:t>as compared to the same period in 2024, primarily related to an estimated settlement of foreign tax examination. For more information, see Note 13, “Income Taxes”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Going Concern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2025, our principal sources of liquidity were cash and cash equivalents and marketable securities of $20.3 million and negative working capital, which we define as current assets less current liabilities, of $6.5 million. Our principal uses of cash are for funding our operations, capital expenditures, other working capital requirements, other investments and the repayment of our Convertible Promissory Note (as defined below) due in January 2026. </w:t>
      </w:r>
    </w:p>
    <w:p>
      <w:pPr>
        <w:pStyle w:val="TextBody"/>
        <w:bidi w:val="0"/>
        <w:spacing w:before="240" w:after="160"/>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 xml:space="preserve">ASU No. 2014-15, Disclosure of Uncertainties about an Entity’s Ability to Continue as a Going Concern </w:t>
      </w:r>
      <w:r>
        <w:rPr>
          <w:rFonts w:ascii="Times New Roman" w:hAnsi="Times New Roman"/>
          <w:color w:val="000000"/>
          <w:sz w:val="20"/>
        </w:rPr>
        <w:t>(“Subtopic 205-40”), we evaluated whether there are conditions and events, considered in the aggregate, that raise substantial doubt about our ability to continue as a going concern within one year after the date that the consolidated financial statements are issued. The Convertible Promissory Note, which has an aggregate principal amount outstanding of $50.0 million as of March 31, 2025, has a maturity date of January 9, 2026. See Note 7, “Debt,” of the notes to condensed consolidated financial statements for additional information regarding the Convertible Promissory Note. Management determined as a result of this evaluation, our current cash, working capital position, and upcoming maturity date of its Convertible Promissory Note, raises substantial doubt about our ability to continue as a going concern within one year after the date that the consolidated financial statements are issued.</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Our plan is to continue exploring options for raising additional capital through a combination of equity financing to supplement our liquidity and/or refinancing of the Convertible Promissory Note. Our ability to raise capital may be constrained by the price of and demand for our common stock. Additional capital may not be available on favorable terms or at all, and could further dilute our current stockholders. Management cannot conclude as of the date of this filing that its plans are probable of being successfully implemented. There can be no assurance that we will be able to raise sufficient additional capital or obtain financing that will provide it with sufficient liquidity to satisfy its Convertible Promissory Note obligation in January 2026.</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condensed consolidated financial statements have been prepared on a basis that assumes we will continue as a going concern which contemplates the realization of assets and satisfaction of liabilities and commitments in the ordinary course of business. Accordingly, the accompanying condensed consolidated financial statements do not include any adjustments that might result from the outcome of this uncertainty.</w:t>
      </w:r>
    </w:p>
    <w:p>
      <w:pPr>
        <w:pStyle w:val="TextBody"/>
        <w:bidi w:val="0"/>
        <w:spacing w:before="80" w:after="283"/>
        <w:jc w:val="both"/>
        <w:rPr>
          <w:rFonts w:ascii="Times New Roman" w:hAnsi="Times New Roman"/>
          <w:sz w:val="20"/>
        </w:rPr>
      </w:pPr>
      <w:r>
        <w:rPr>
          <w:rFonts w:ascii="Times New Roman" w:hAnsi="Times New Roman"/>
          <w:i/>
          <w:color w:val="000000"/>
          <w:sz w:val="20"/>
        </w:rPr>
        <w:t xml:space="preserve">At-the-market offering. </w:t>
      </w:r>
      <w:r>
        <w:rPr>
          <w:rFonts w:ascii="Times New Roman" w:hAnsi="Times New Roman"/>
          <w:color w:val="000000"/>
          <w:sz w:val="20"/>
        </w:rPr>
        <w:t xml:space="preserve">In November 2024, we entered into the ATM Agreement with the Sales Agent, pursuant to which we may offer and sell shares of our common stock having an aggregate gross sales price of up to $14.2 million, from time to time, through the Sales Agent in transactions deemed to be “at-the-market” offerings under federal securities laws (the “2024 ATM Program”). The offering of Shares pursuant to the ATM Agreement will terminate upon (a) five business days’ advance notice from us to the Sales Agent or five business days’ advance notice from the Sales Agent to us or (b) otherwise by mutual agreement of the parties pursuant to the terms of the ATM Agreement. Sales under the 2024 ATM Program are subject to a maximum commission of up to 3.0% of the gross proceeds per share sold through the Sales Agent.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2025, a total of 984,966 shares of common stock were issued pursuant to the Sales Agreement for aggregate gross proceeds of approximately $1.1 million, before deducting commissions and offering expenses payable by us. As of March 31, 2025, $13.1 million remained available under the ATM Agreement. Refer to Note 9, “Common Stock”, in Part I, Item 1 of this Quarterly Report on Form 10-Q for additional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Convertible Note. </w:t>
      </w:r>
      <w:r>
        <w:rPr>
          <w:rFonts w:ascii="Times New Roman" w:hAnsi="Times New Roman"/>
          <w:color w:val="000000"/>
          <w:sz w:val="20"/>
        </w:rPr>
        <w:t>As of March 31, 2025, our Convertible Note obligation was $50.0 million. Upon reaching the maturity date of the Convertible Note, January 9, 2026, we would need to pay cash or issue shares of common stock equal to the aggregate principal amount of the Convertible Note to be converted. As noted above, there is substantial doubt about our ability to continue as a going concern within one year after the date that the consolidated financial statements are issued due to the upcoming maturity date of the Convertible Note. Management continues to explore options to address the substantial doubt, however there can be no assurance that we will be able to raise sufficient additional capital or obtain financing that will provide it with sufficient liquidity to satisfy the Convertible Promissory Note obligation. Refer to the section above for more information regarding our going concern analysis and management’s plan to address the substantial doubt. Refer to Note 7, in Part I, Item 1 of this Quarterly Report on Form 10-Q for additional information.</w:t>
      </w:r>
    </w:p>
    <w:p>
      <w:pPr>
        <w:pStyle w:val="Heading2"/>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552" w:type="dxa"/>
        <w:jc w:val="left"/>
        <w:tblInd w:w="0" w:type="dxa"/>
        <w:tblLayout w:type="fixed"/>
        <w:tblCellMar>
          <w:top w:w="28" w:type="dxa"/>
          <w:left w:w="28" w:type="dxa"/>
          <w:bottom w:w="28" w:type="dxa"/>
          <w:right w:w="28" w:type="dxa"/>
        </w:tblCellMar>
      </w:tblPr>
      <w:tblGrid>
        <w:gridCol w:w="3796"/>
        <w:gridCol w:w="146"/>
        <w:gridCol w:w="243"/>
        <w:gridCol w:w="708"/>
        <w:gridCol w:w="205"/>
        <w:gridCol w:w="181"/>
        <w:gridCol w:w="243"/>
        <w:gridCol w:w="819"/>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tariffs, interest rates, inflation or the supply chain, including timing of cash collections from customers and other risks which are detailed in the section entitled “Cautionary Note Regarding Forward-Looking Statements” included elsewhere in this Quarterly Report on Form 10-Q, including in Part II, Item 1A, “Risk Factors” of this Quarterly Report on Form 10-Q and in Part I, Item 1A, “Risk Factors” in the 2024 Annual Report.</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from operating activities consisted of net loss adjusted for certain non-cash reconciling items, such as non-cash interest expense, stock-based compensation expense, provision to write down inventories to net realizable value, depreciation and amortization, and non-cash lease expense, and changes in our operating assets and liabilities. Cash used in operating activities decreased by $10.7 million in the three months ended March 31, 2025, as compared to the same period in 2024.</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Provided by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was $3.5 million for the three months ended March 31, 2025, which is primarily attributable to the purchase of marketable securities and was partially offset by the sale of marketable securities. Net cash provided by investing activities was $15.6 million for the three months ended March 31, 2024, which is primarily attributable to the sale of marketable securities and was partially offset by the purchase property and equipment. </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increased by $0.6 million in the three months ended March 31, 2025, compared to the same period in 2024 which is primarily attributable to the proceeds from the Company’s at-the-market offering and payments of tax withholdings on stock options.</w:t>
      </w:r>
    </w:p>
    <w:p>
      <w:pPr>
        <w:pStyle w:val="Heading2"/>
        <w:bidi w:val="0"/>
        <w:spacing w:before="360" w:after="120"/>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both"/>
        <w:rPr>
          <w:rFonts w:ascii="Times New Roman" w:hAnsi="Times New Roman"/>
          <w:color w:val="000000"/>
          <w:sz w:val="20"/>
        </w:rPr>
      </w:pPr>
      <w:r>
        <w:rPr>
          <w:rFonts w:ascii="Times New Roman" w:hAnsi="Times New Roman"/>
          <w:color w:val="000000"/>
          <w:sz w:val="20"/>
        </w:rPr>
        <w:t>Our contractual obligations primarily consist of our Convertible Promissory Note, obligations under operating leases and inventory component purchases. As of March 31, 2025, there have been no material changes from our disclosure in our 2024 Annual Report. For more information on our future minimum operating leases, see Note 11, “Leases” and for more information on our Convertible Promissory Notes and other related debt, see Note 7, “Debt,” of the notes to condensed consolidated financial statements included in Part I, Item 1 of this Quarterly Report on Form 10-Q.</w:t>
      </w:r>
    </w:p>
    <w:p>
      <w:pPr>
        <w:pStyle w:val="Heading2"/>
        <w:bidi w:val="0"/>
        <w:spacing w:before="360" w:after="12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jc w:val="both"/>
        <w:rPr>
          <w:rFonts w:ascii="Times New Roman" w:hAnsi="Times New Roman"/>
          <w:color w:val="000000"/>
          <w:sz w:val="20"/>
        </w:rPr>
      </w:pPr>
      <w:r>
        <w:rPr>
          <w:rFonts w:ascii="Times New Roman" w:hAnsi="Times New Roman"/>
          <w:color w:val="000000"/>
          <w:sz w:val="20"/>
        </w:rPr>
        <w:t>During the periods presented, the Company did not have any off-balance sheet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rFonts w:ascii="Times New Roman" w:hAnsi="Times New Roman"/>
          <w:color w:val="000000"/>
          <w:sz w:val="20"/>
        </w:rPr>
      </w:pPr>
      <w:r>
        <w:rPr>
          <w:rFonts w:ascii="Times New Roman" w:hAnsi="Times New Roman"/>
          <w:color w:val="000000"/>
          <w:sz w:val="20"/>
        </w:rPr>
        <w:t>For the period ended March 31, 2025, there have been no material changes to our critical accounting estimates from the information reported in our 2024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 </w:t>
      </w:r>
    </w:p>
    <w:p>
      <w:pPr>
        <w:pStyle w:val="Heading2"/>
        <w:bidi w:val="0"/>
        <w:spacing w:before="360" w:after="283"/>
        <w:jc w:val="both"/>
        <w:rPr>
          <w:rFonts w:ascii="Times New Roman" w:hAnsi="Times New Roman"/>
          <w:b/>
          <w:color w:val="000000"/>
          <w:sz w:val="20"/>
        </w:rPr>
      </w:pPr>
      <w:bookmarkStart w:id="9" w:name="item_3_quantitative_and_qualitative"/>
      <w:bookmarkEnd w:id="9"/>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Heading2"/>
        <w:bidi w:val="0"/>
        <w:spacing w:before="360" w:after="283"/>
        <w:jc w:val="both"/>
        <w:rPr>
          <w:rFonts w:ascii="Times New Roman" w:hAnsi="Times New Roman"/>
          <w:b/>
          <w:color w:val="000000"/>
          <w:sz w:val="20"/>
        </w:rPr>
      </w:pPr>
      <w:bookmarkStart w:id="10" w:name="item_4_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of March 31, 2025, as defined in Rules 13a-15(e) and 15d-15(e) under the Securities Exchange Act of 1934, as amended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effective as of March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Rules 13a-15(d) and 15d-15(d) of the Exchange Act that occurred during the three months ended March 31, 2025, that have materially affected, or are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the Effectiveness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evaluation of effectiveness to future periods are subject to the risk that controls may become inadequate because of changes in conditions or that the degree of compliance with the policies or procedures may deteriorate.</w:t>
      </w:r>
    </w:p>
    <w:p>
      <w:pPr>
        <w:pStyle w:val="Heading2"/>
        <w:bidi w:val="0"/>
        <w:spacing w:before="360" w:after="283"/>
        <w:jc w:val="center"/>
        <w:rPr>
          <w:rFonts w:ascii="Times New Roman" w:hAnsi="Times New Roman"/>
          <w:b/>
          <w:color w:val="000000"/>
          <w:sz w:val="20"/>
        </w:rPr>
      </w:pPr>
      <w:r>
        <w:rPr>
          <w:rFonts w:ascii="Times New Roman" w:hAnsi="Times New Roman"/>
          <w:b/>
          <w:color w:val="000000"/>
          <w:sz w:val="20"/>
        </w:rPr>
        <w:t>PART II—OTHER INFORMATION</w:t>
      </w:r>
    </w:p>
    <w:p>
      <w:pPr>
        <w:pStyle w:val="Heading2"/>
        <w:bidi w:val="0"/>
        <w:spacing w:before="240" w:after="283"/>
        <w:jc w:val="left"/>
        <w:rPr>
          <w:rFonts w:ascii="Times New Roman" w:hAnsi="Times New Roman"/>
          <w:b/>
          <w:color w:val="000000"/>
          <w:sz w:val="20"/>
        </w:rPr>
      </w:pPr>
      <w:bookmarkStart w:id="11" w:name="item_1_legal_proceedings"/>
      <w:bookmarkEnd w:id="11"/>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pStyle w:val="Heading2"/>
        <w:bidi w:val="0"/>
        <w:spacing w:before="360" w:after="283"/>
        <w:jc w:val="left"/>
        <w:rPr>
          <w:rFonts w:ascii="Times New Roman" w:hAnsi="Times New Roman"/>
          <w:b/>
          <w:color w:val="000000"/>
          <w:sz w:val="20"/>
        </w:rPr>
      </w:pPr>
      <w:bookmarkStart w:id="12" w:name="item_1a_risk_factors"/>
      <w:bookmarkEnd w:id="12"/>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other information set forth in this Quarterly Report on Form 10-Q, you should carefully consider the risk factors disclosed in the section entitled “Risk Factors” in Part I, Item 1A, of the Company’s 2024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 except the following: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3, 2025, we received a letter from Nasdaq indicating that the listing of the Company’s common stock was not in compliance with Nasdaq Listing Rule 5550(a)(2), as the closing bid price of our common stock was less than $1.00 per share over a consecutive 30- trading-day period. Pursuant to Nasdaq Listing Rule 5810(c)(3)(A), we have a period of 180 calendar days, or until September 30, 2025, to regain compliance with the minimum bid price requirement, with the possibility of extension for an additional 180 calendar days if we meet Nasdaq’s continued listing requirement for market value of publicly held shares and all other initial listing standards for the Nasdaq Capital Market with the exception of the minimum bid price requirement. In addition, we would be required to provide written notice of our intention to cure the deficiency during such additional compliance period, by effecting a reverse stock split, if necessary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 regain compliance if our common stock is at least $1.00 for a minimum of 10 consecutive business days (unless Nasdaq exercises its discretion to extend the 10-day period) at any time during the 180 day compliance period (or additional compliance period, if applicable) (the “Nasdaq Listing Requirement”).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it appears to Nasdaq that we will not be able to cure the deficiency in connection with the minimum bid price requirement, or if we are otherwise not eligible for the additional compliance period, and we do not regain compliance by September 30, 2025 for the minimum bid price requirement, Nasdaq will provide written notification to us that our shares of common stock are subject to delisting. At that time, we may appeal the delisting determination to a hearings panel pursuant to the procedures set forth in the applicable Nasdaq Listing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notice is a notice of deficiency, not delisting, and does not currently affect the listing or trading of our common stock on Nasdaq, which continues to trade under the symbol “TYGO.” However, as of March 31, 2025, we did not meet the Nasdaq Listing Requirement, and we may not meet that requirement before the end of the compliance period (or additional compliance period, if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continue to actively monitor the closing bid price of our common stock and are evaluating available options, including seeking to effect a reverse stock split and intend to take appropriate steps to maintain our listing on Nasdaq. However, there can be no assurance that we will be able to regain compliance with the minimum bid price requirement.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Heading2"/>
        <w:bidi w:val="0"/>
        <w:spacing w:before="360" w:after="283"/>
        <w:jc w:val="both"/>
        <w:rPr>
          <w:rFonts w:ascii="Times New Roman" w:hAnsi="Times New Roman"/>
          <w:b/>
          <w:color w:val="000000"/>
          <w:sz w:val="20"/>
        </w:rPr>
      </w:pPr>
      <w:bookmarkStart w:id="13" w:name="item_2_unregistered_sales_of_equity"/>
      <w:bookmarkEnd w:id="13"/>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b/>
          <w:color w:val="000000"/>
          <w:sz w:val="20"/>
        </w:rPr>
      </w:pPr>
      <w:bookmarkStart w:id="14" w:name="tem_3_defaults_upon_senior_securities"/>
      <w:bookmarkEnd w:id="14"/>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360" w:after="283"/>
        <w:jc w:val="both"/>
        <w:rPr>
          <w:rFonts w:ascii="Times New Roman" w:hAnsi="Times New Roman"/>
          <w:b/>
          <w:color w:val="000000"/>
          <w:sz w:val="20"/>
        </w:rPr>
      </w:pPr>
      <w:bookmarkStart w:id="16" w:name="item_5_other_information"/>
      <w:bookmarkEnd w:id="16"/>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4"/>
        <w:gridCol w:w="146"/>
        <w:gridCol w:w="8705"/>
      </w:tblGrid>
      <w:tr>
        <w:trPr/>
        <w:tc>
          <w:tcPr>
            <w:tcW w:w="1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5" w:type="dxa"/>
            <w:tcBorders/>
            <w:vAlign w:val="center"/>
          </w:tcPr>
          <w:p>
            <w:pPr>
              <w:pStyle w:val="TableContents"/>
              <w:bidi w:val="0"/>
              <w:spacing w:before="0" w:after="283"/>
              <w:jc w:val="left"/>
              <w:rPr>
                <w:sz w:val="4"/>
                <w:szCs w:val="4"/>
              </w:rPr>
            </w:pPr>
            <w:r>
              <w:rPr>
                <w:sz w:val="4"/>
                <w:szCs w:val="4"/>
              </w:rPr>
            </w:r>
          </w:p>
        </w:tc>
      </w:tr>
      <w:tr>
        <w:trPr/>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5" w:type="dxa"/>
            <w:tcBorders/>
            <w:shd w:fill="FFFFFF" w:val="clear"/>
            <w:tcMar>
              <w:top w:w="0" w:type="dxa"/>
              <w:left w:w="0" w:type="dxa"/>
              <w:bottom w:w="0" w:type="dxa"/>
              <w:right w:w="0" w:type="dxa"/>
            </w:tcMar>
            <w:vAlign w:val="center"/>
          </w:tcPr>
          <w:p>
            <w:pPr>
              <w:pStyle w:val="TableContents"/>
              <w:bidi w:val="0"/>
              <w:jc w:val="left"/>
              <w:rPr/>
            </w:pPr>
            <w:hyperlink r:id="rId2">
              <w:r>
                <w:rPr>
                  <w:rStyle w:val="InternetLink"/>
                  <w:rFonts w:ascii="Times New Roman" w:hAnsi="Times New Roman"/>
                  <w:color w:val="0000FF"/>
                  <w:sz w:val="20"/>
                  <w:u w:val="single"/>
                </w:rPr>
                <w:t>Second Amended and Restated Certificate of Incorporation of Tigo Energy, Inc. (incorporated by reference</w:t>
              </w:r>
            </w:hyperlink>
          </w:p>
          <w:p>
            <w:pPr>
              <w:pStyle w:val="TableContents"/>
              <w:bidi w:val="0"/>
              <w:spacing w:before="0" w:after="283"/>
              <w:jc w:val="left"/>
              <w:rPr/>
            </w:pPr>
            <w:hyperlink r:id="rId3">
              <w:r>
                <w:rPr>
                  <w:rStyle w:val="InternetLink"/>
                  <w:rFonts w:ascii="Times New Roman" w:hAnsi="Times New Roman"/>
                  <w:color w:val="0000FF"/>
                  <w:sz w:val="20"/>
                  <w:u w:val="single"/>
                </w:rPr>
                <w:t>to Exhibit 3.1 to the Company’s Current Report on Form 8-K, filed with the SEC on May 30, 2023).</w:t>
              </w:r>
            </w:hyperlink>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5" w:type="dxa"/>
            <w:tcBorders/>
            <w:shd w:fill="FFFFFF" w:val="clear"/>
            <w:tcMar>
              <w:top w:w="0" w:type="dxa"/>
              <w:left w:w="0" w:type="dxa"/>
              <w:bottom w:w="0" w:type="dxa"/>
              <w:right w:w="0" w:type="dxa"/>
            </w:tcMar>
            <w:vAlign w:val="center"/>
          </w:tcPr>
          <w:p>
            <w:pPr>
              <w:pStyle w:val="TableContents"/>
              <w:bidi w:val="0"/>
              <w:jc w:val="left"/>
              <w:rPr/>
            </w:pPr>
            <w:hyperlink r:id="rId4">
              <w:r>
                <w:rPr>
                  <w:rStyle w:val="InternetLink"/>
                  <w:rFonts w:ascii="Times New Roman" w:hAnsi="Times New Roman"/>
                  <w:color w:val="0000FF"/>
                  <w:sz w:val="20"/>
                  <w:u w:val="single"/>
                </w:rPr>
                <w:t>Amended and Restated Bylaws of Tigo Energy, Inc. (incorporated by reference to Exhibit 3.2 to the</w:t>
              </w:r>
            </w:hyperlink>
          </w:p>
          <w:p>
            <w:pPr>
              <w:pStyle w:val="TableContents"/>
              <w:bidi w:val="0"/>
              <w:spacing w:before="0" w:after="283"/>
              <w:jc w:val="left"/>
              <w:rPr/>
            </w:pPr>
            <w:hyperlink r:id="rId5">
              <w:r>
                <w:rPr>
                  <w:rStyle w:val="InternetLink"/>
                  <w:rFonts w:ascii="Times New Roman" w:hAnsi="Times New Roman"/>
                  <w:color w:val="0000FF"/>
                  <w:sz w:val="20"/>
                  <w:u w:val="single"/>
                </w:rPr>
                <w:t>Company’s Current Report on Form 8-K, filed with the SEC on May 30, 2023).</w:t>
              </w:r>
            </w:hyperlink>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Employment Agreement, dated as of February 19, 2025, by and between Zvi Alon and Tigo Energy, Inc. (incorporated by reference to Exhibit 10.2 to the Company’s Current Report on Form 8-K, filed with the SEC on February 21, 2025).</w:t>
              </w:r>
            </w:hyperlink>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Employment Agreement, dated as of February 19, 2025, by and between Bill Roeschlein and Tigo Energy, Inc. incorporated by reference to Exhibit 10.3 to the Company’s Current Report on Form 8-K, filed with the SEC on February 21, 2025).</w:t>
              </w:r>
            </w:hyperlink>
          </w:p>
        </w:tc>
      </w:tr>
      <w:tr>
        <w:trPr/>
        <w:tc>
          <w:tcPr>
            <w:tcW w:w="135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10.3</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Executive Short Term Incentive Plan (incorporated by reference to Exhibit 10.1 to the Company’s Current Report on Form 8-K, filed with the SEC on February 21, 2025).</w:t>
              </w:r>
            </w:hyperlink>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1_1.htm">
              <w:r>
                <w:rPr>
                  <w:rStyle w:val="InternetLink"/>
                  <w:rFonts w:ascii="Times New Roman" w:hAnsi="Times New Roman"/>
                  <w:color w:val="0000FF"/>
                  <w:sz w:val="20"/>
                  <w:u w:val="single"/>
                </w:rPr>
                <w:t>Certification of Chief Executive Officer pursuant to Rule 13a-14(a)/15d-14(a)</w:t>
              </w:r>
            </w:hyperlink>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1_2.htm">
              <w:r>
                <w:rPr>
                  <w:rStyle w:val="InternetLink"/>
                  <w:rFonts w:ascii="Times New Roman" w:hAnsi="Times New Roman"/>
                  <w:color w:val="0000FF"/>
                  <w:sz w:val="20"/>
                  <w:u w:val="single"/>
                </w:rPr>
                <w:t>Certification of Chief Financial Officer pursuant to Rule 13a-14(a)/15d-14(a)</w:t>
              </w:r>
            </w:hyperlink>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2_1.htm">
              <w:r>
                <w:rPr>
                  <w:rStyle w:val="InternetLink"/>
                  <w:rFonts w:ascii="Times New Roman" w:hAnsi="Times New Roman"/>
                  <w:color w:val="0000FF"/>
                  <w:sz w:val="20"/>
                  <w:u w:val="single"/>
                </w:rPr>
                <w:t>Certification of Chief Executive Officer pursuant to Rule 13a-14(b)/15d-14(b)</w:t>
              </w:r>
            </w:hyperlink>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2_2.htm">
              <w:r>
                <w:rPr>
                  <w:rStyle w:val="InternetLink"/>
                  <w:rFonts w:ascii="Times New Roman" w:hAnsi="Times New Roman"/>
                  <w:color w:val="0000FF"/>
                  <w:sz w:val="20"/>
                  <w:u w:val="single"/>
                </w:rPr>
                <w:t>Certification of Chief Financial Officer pursuant to Rule 13a-14(b)/15d-14(b)</w:t>
              </w:r>
            </w:hyperlink>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(formatted as Inline XBRL and contained in Exhibit 101) </w:t>
            </w:r>
          </w:p>
        </w:tc>
      </w:tr>
      <w:tr>
        <w:trPr/>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Filed herewith.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Furnished herewith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Bill Roeschlein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tygo-ex31_1.htm"/>
      <w:bookmarkStart w:id="20" w:name="kstygo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2025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42" w:type="dxa"/>
        <w:jc w:val="left"/>
        <w:tblInd w:w="0" w:type="dxa"/>
        <w:tblLayout w:type="fixed"/>
        <w:tblCellMar>
          <w:top w:w="28" w:type="dxa"/>
          <w:left w:w="28" w:type="dxa"/>
          <w:bottom w:w="28" w:type="dxa"/>
          <w:right w:w="28" w:type="dxa"/>
        </w:tblCellMar>
      </w:tblPr>
      <w:tblGrid>
        <w:gridCol w:w="1636"/>
        <w:gridCol w:w="4306"/>
      </w:tblGrid>
      <w:tr>
        <w:trPr/>
        <w:tc>
          <w:tcPr>
            <w:tcW w:w="163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6, 2025</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ygo-ex31_2.htm"/>
      <w:bookmarkStart w:id="22" w:name="kstygo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2025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6, 2025</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ygo-ex32_1.htm"/>
      <w:bookmarkStart w:id="24" w:name="kstygoex32_1"/>
      <w:bookmarkEnd w:id="23"/>
      <w:bookmarkEnd w:id="24"/>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March 31, 2025,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May 6, 2025</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ygo-ex32_2.htm"/>
      <w:bookmarkStart w:id="26" w:name="kstygoex32_2"/>
      <w:bookmarkEnd w:id="25"/>
      <w:bookmarkEnd w:id="26"/>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March 31, 2025,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May 6, 2025</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21390023044099/ea179362ex3-1_tigoenergy.htm" TargetMode="External"/><Relationship Id="rId3" Type="http://schemas.openxmlformats.org/officeDocument/2006/relationships/hyperlink" Target="https://www.sec.gov/Archives/edgar/data/1855447/000121390023044099/ea179362ex3-1_tigoenergy.htm" TargetMode="External"/><Relationship Id="rId4" Type="http://schemas.openxmlformats.org/officeDocument/2006/relationships/hyperlink" Target="https://www.sec.gov/Archives/edgar/data/1855447/000121390023044099/ea179362ex3-2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hyperlink" Target="https://www.sec.gov/Archives/edgar/data/1855447/000121390025015828/ea023175901ex10-2_tigo.htm" TargetMode="External"/><Relationship Id="rId7" Type="http://schemas.openxmlformats.org/officeDocument/2006/relationships/hyperlink" Target="https://www.sec.gov/Archives/edgar/data/1855447/000121390025015828/ea023175901ex10-3_tigo.htm" TargetMode="External"/><Relationship Id="rId8" Type="http://schemas.openxmlformats.org/officeDocument/2006/relationships/hyperlink" Target="https://www.sec.gov/Archives/edgar/data/1855447/000121390025015828/ea023175901ex10-1_tigo.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17623</Words>
  <Characters>96014</Characters>
  <CharactersWithSpaces>114135</CharactersWithSpaces>
  <Paragraphs>4534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