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78130-424b5_tigo.htm"/>
      <w:bookmarkStart w:id="1" w:name="ksea0278130424b5_tigo"/>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September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715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 Shares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5,000,000 shares of common stock, par value $0.0001 per share (the “common stock”), directly to certain institutional investors at an offering price of $3.00 per share pursuant 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Stock Market (“Nasdaq”) under the symbol “TYGO.” On February 24, 2026, the closing sale price of shares of our common stock was $3.54.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Craig-Hallum Capital Group LLC (the “placement agent”) as our exclusive placement agent in connection with this registered direct offering. The Placement Agent is not purchasing the securities offered by us on behalf of any investors in the registered direct offering and is not required to sell any specific number or dollar amount of securities, but will assist us in connection with such offering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and an “emerging growth company” under applicable Securities and Exchange Commission, or the SEC, rules and, as such, have elected to comply with certain reduced public company disclosure requirements for this prospectus supplement. See “Prospectus Supplement Summary—Smaller Reporting Company” and Prospectus Supplement Summary—Emerging Growth Company” on page S-2 of this prospectus supplement for more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S-4 of this prospectus supplement and similar sections contained in the documents incorporated by reference into this prospectus supplement and the accompanying base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035"/>
        <w:gridCol w:w="60"/>
        <w:gridCol w:w="172"/>
        <w:gridCol w:w="688"/>
        <w:gridCol w:w="60"/>
        <w:gridCol w:w="60"/>
        <w:gridCol w:w="140"/>
        <w:gridCol w:w="1100"/>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 </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Offering price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15,000,000</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 fee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688" w:type="dxa"/>
            <w:tcBorders/>
            <w:shd w:fill="FFFFFF" w:val="clear"/>
            <w:vAlign w:val="center"/>
          </w:tcPr>
          <w:p>
            <w:pPr>
              <w:pStyle w:val="TableContents"/>
              <w:bidi w:val="0"/>
              <w:spacing w:before="0" w:after="283"/>
              <w:jc w:val="right"/>
              <w:rPr/>
            </w:pPr>
            <w:r>
              <w:rPr/>
              <w:t>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675,000</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14,325,000</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sz w:val="20"/>
              </w:rPr>
            </w:pPr>
            <w:r>
              <w:rPr>
                <w:sz w:val="20"/>
              </w:rPr>
              <w:t>(1)</w:t>
            </w:r>
          </w:p>
        </w:tc>
        <w:tc>
          <w:tcPr>
            <w:tcW w:w="9966" w:type="dxa"/>
            <w:tcBorders/>
            <w:vAlign w:val="center"/>
          </w:tcPr>
          <w:p>
            <w:pPr>
              <w:pStyle w:val="TableContents"/>
              <w:bidi w:val="0"/>
              <w:spacing w:before="0" w:after="283"/>
              <w:jc w:val="both"/>
              <w:rPr>
                <w:sz w:val="20"/>
              </w:rPr>
            </w:pPr>
            <w:r>
              <w:rPr>
                <w:sz w:val="20"/>
              </w:rPr>
              <w:t>We have also agreed to reimburse certain expenses of the placement agent. See the section captioned “Plan of Distribution” in this prospectus supplement for additional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shares of common stock is expected to be made on or about February 26, 2025.</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Craig-Hallum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February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8045"/>
        <w:gridCol w:w="60"/>
        <w:gridCol w:w="485"/>
      </w:tblGrid>
      <w:tr>
        <w:trPr/>
        <w:tc>
          <w:tcPr>
            <w:tcW w:w="8045" w:type="dxa"/>
            <w:tcBorders/>
            <w:shd w:fill="CCEEFF" w:val="clear"/>
            <w:vAlign w:val="center"/>
          </w:tcPr>
          <w:p>
            <w:pPr>
              <w:pStyle w:val="TableContents"/>
              <w:bidi w:val="0"/>
              <w:spacing w:before="0" w:after="283"/>
              <w:jc w:val="left"/>
              <w:rPr/>
            </w:pPr>
            <w:hyperlink w:anchor="b_001">
              <w:r>
                <w:rPr>
                  <w:rStyle w:val="InternetLink"/>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S-ii</w:t>
            </w:r>
          </w:p>
        </w:tc>
      </w:tr>
      <w:tr>
        <w:trPr/>
        <w:tc>
          <w:tcPr>
            <w:tcW w:w="8045" w:type="dxa"/>
            <w:tcBorders/>
            <w:shd w:fill="FFFFFF" w:val="clear"/>
            <w:vAlign w:val="center"/>
          </w:tcPr>
          <w:p>
            <w:pPr>
              <w:pStyle w:val="TableContents"/>
              <w:bidi w:val="0"/>
              <w:spacing w:before="0" w:after="283"/>
              <w:jc w:val="left"/>
              <w:rPr/>
            </w:pPr>
            <w:hyperlink w:anchor="b_002">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S-iii</w:t>
            </w:r>
          </w:p>
        </w:tc>
      </w:tr>
      <w:tr>
        <w:trPr/>
        <w:tc>
          <w:tcPr>
            <w:tcW w:w="8045" w:type="dxa"/>
            <w:tcBorders/>
            <w:shd w:fill="CCEEFF" w:val="clear"/>
            <w:vAlign w:val="center"/>
          </w:tcPr>
          <w:p>
            <w:pPr>
              <w:pStyle w:val="TableContents"/>
              <w:bidi w:val="0"/>
              <w:spacing w:before="0" w:after="283"/>
              <w:jc w:val="left"/>
              <w:rPr/>
            </w:pPr>
            <w:hyperlink w:anchor="b_003">
              <w:r>
                <w:rPr>
                  <w:rStyle w:val="InternetLink"/>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S-1</w:t>
            </w:r>
          </w:p>
        </w:tc>
      </w:tr>
      <w:tr>
        <w:trPr/>
        <w:tc>
          <w:tcPr>
            <w:tcW w:w="8045" w:type="dxa"/>
            <w:tcBorders/>
            <w:shd w:fill="FFFFFF" w:val="clear"/>
            <w:vAlign w:val="center"/>
          </w:tcPr>
          <w:p>
            <w:pPr>
              <w:pStyle w:val="TableContents"/>
              <w:bidi w:val="0"/>
              <w:spacing w:before="0" w:after="283"/>
              <w:jc w:val="left"/>
              <w:rPr/>
            </w:pPr>
            <w:hyperlink w:anchor="b_004">
              <w:r>
                <w:rPr>
                  <w:rStyle w:val="InternetLink"/>
                </w:rPr>
                <w:t>THE OFFERING</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S-3</w:t>
            </w:r>
          </w:p>
        </w:tc>
      </w:tr>
      <w:tr>
        <w:trPr/>
        <w:tc>
          <w:tcPr>
            <w:tcW w:w="8045" w:type="dxa"/>
            <w:tcBorders/>
            <w:shd w:fill="CCEEFF" w:val="clear"/>
            <w:vAlign w:val="center"/>
          </w:tcPr>
          <w:p>
            <w:pPr>
              <w:pStyle w:val="TableContents"/>
              <w:bidi w:val="0"/>
              <w:spacing w:before="0" w:after="283"/>
              <w:jc w:val="left"/>
              <w:rPr/>
            </w:pPr>
            <w:hyperlink w:anchor="b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S-4</w:t>
            </w:r>
          </w:p>
        </w:tc>
      </w:tr>
      <w:tr>
        <w:trPr/>
        <w:tc>
          <w:tcPr>
            <w:tcW w:w="8045" w:type="dxa"/>
            <w:tcBorders/>
            <w:shd w:fill="FFFFFF" w:val="clear"/>
            <w:vAlign w:val="center"/>
          </w:tcPr>
          <w:p>
            <w:pPr>
              <w:pStyle w:val="TableContents"/>
              <w:bidi w:val="0"/>
              <w:spacing w:before="0" w:after="283"/>
              <w:jc w:val="left"/>
              <w:rPr/>
            </w:pPr>
            <w:hyperlink w:anchor="b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S-6</w:t>
            </w:r>
          </w:p>
        </w:tc>
      </w:tr>
      <w:tr>
        <w:trPr/>
        <w:tc>
          <w:tcPr>
            <w:tcW w:w="8045" w:type="dxa"/>
            <w:tcBorders/>
            <w:shd w:fill="CCEEFF" w:val="clear"/>
            <w:vAlign w:val="center"/>
          </w:tcPr>
          <w:p>
            <w:pPr>
              <w:pStyle w:val="TableContents"/>
              <w:bidi w:val="0"/>
              <w:spacing w:before="0" w:after="283"/>
              <w:jc w:val="left"/>
              <w:rPr/>
            </w:pPr>
            <w:hyperlink w:anchor="b_007">
              <w:r>
                <w:rPr>
                  <w:rStyle w:val="InternetLink"/>
                </w:rPr>
                <w:t>DIVIDEND POLICY</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S-7</w:t>
            </w:r>
          </w:p>
        </w:tc>
      </w:tr>
      <w:tr>
        <w:trPr/>
        <w:tc>
          <w:tcPr>
            <w:tcW w:w="8045" w:type="dxa"/>
            <w:tcBorders/>
            <w:shd w:fill="FFFFFF" w:val="clear"/>
            <w:vAlign w:val="center"/>
          </w:tcPr>
          <w:p>
            <w:pPr>
              <w:pStyle w:val="TableContents"/>
              <w:bidi w:val="0"/>
              <w:spacing w:before="0" w:after="283"/>
              <w:jc w:val="left"/>
              <w:rPr/>
            </w:pPr>
            <w:hyperlink w:anchor="b_008">
              <w:r>
                <w:rPr>
                  <w:rStyle w:val="InternetLink"/>
                </w:rPr>
                <w:t>DILUTION</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S-8</w:t>
            </w:r>
          </w:p>
        </w:tc>
      </w:tr>
      <w:tr>
        <w:trPr/>
        <w:tc>
          <w:tcPr>
            <w:tcW w:w="8045" w:type="dxa"/>
            <w:tcBorders/>
            <w:shd w:fill="CCEEFF" w:val="clear"/>
            <w:vAlign w:val="center"/>
          </w:tcPr>
          <w:p>
            <w:pPr>
              <w:pStyle w:val="TableContents"/>
              <w:bidi w:val="0"/>
              <w:spacing w:before="0" w:after="283"/>
              <w:jc w:val="left"/>
              <w:rPr/>
            </w:pPr>
            <w:hyperlink w:anchor="b_009">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S-9</w:t>
            </w:r>
          </w:p>
        </w:tc>
      </w:tr>
      <w:tr>
        <w:trPr/>
        <w:tc>
          <w:tcPr>
            <w:tcW w:w="8045" w:type="dxa"/>
            <w:tcBorders/>
            <w:shd w:fill="FFFFFF" w:val="clear"/>
            <w:vAlign w:val="center"/>
          </w:tcPr>
          <w:p>
            <w:pPr>
              <w:pStyle w:val="TableContents"/>
              <w:bidi w:val="0"/>
              <w:spacing w:before="0" w:after="283"/>
              <w:jc w:val="left"/>
              <w:rPr/>
            </w:pPr>
            <w:hyperlink w:anchor="b_010">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S-10</w:t>
            </w:r>
          </w:p>
        </w:tc>
      </w:tr>
      <w:tr>
        <w:trPr/>
        <w:tc>
          <w:tcPr>
            <w:tcW w:w="8045" w:type="dxa"/>
            <w:tcBorders/>
            <w:shd w:fill="CCEEFF" w:val="clear"/>
            <w:vAlign w:val="center"/>
          </w:tcPr>
          <w:p>
            <w:pPr>
              <w:pStyle w:val="TableContents"/>
              <w:bidi w:val="0"/>
              <w:spacing w:before="0" w:after="283"/>
              <w:jc w:val="left"/>
              <w:rPr/>
            </w:pPr>
            <w:hyperlink w:anchor="b_011">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S-10</w:t>
            </w:r>
          </w:p>
        </w:tc>
      </w:tr>
      <w:tr>
        <w:trPr/>
        <w:tc>
          <w:tcPr>
            <w:tcW w:w="8045" w:type="dxa"/>
            <w:tcBorders/>
            <w:shd w:fill="FFFFFF" w:val="clear"/>
            <w:vAlign w:val="center"/>
          </w:tcPr>
          <w:p>
            <w:pPr>
              <w:pStyle w:val="TableContents"/>
              <w:bidi w:val="0"/>
              <w:spacing w:before="0" w:after="283"/>
              <w:jc w:val="left"/>
              <w:rPr/>
            </w:pPr>
            <w:hyperlink w:anchor="b_012">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S-10</w:t>
            </w:r>
          </w:p>
        </w:tc>
      </w:tr>
      <w:tr>
        <w:trPr/>
        <w:tc>
          <w:tcPr>
            <w:tcW w:w="8045" w:type="dxa"/>
            <w:tcBorders/>
            <w:shd w:fill="CCEEFF" w:val="clear"/>
            <w:vAlign w:val="center"/>
          </w:tcPr>
          <w:p>
            <w:pPr>
              <w:pStyle w:val="TableContents"/>
              <w:bidi w:val="0"/>
              <w:spacing w:before="0" w:after="283"/>
              <w:jc w:val="left"/>
              <w:rPr/>
            </w:pPr>
            <w:hyperlink w:anchor="b_013">
              <w:r>
                <w:rPr>
                  <w:rStyle w:val="InternetLink"/>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S-11</w:t>
            </w:r>
          </w:p>
        </w:tc>
      </w:tr>
      <w:tr>
        <w:trPr/>
        <w:tc>
          <w:tcPr>
            <w:tcW w:w="8045" w:type="dxa"/>
            <w:tcBorders/>
            <w:shd w:fill="FFFFFF" w:val="clear"/>
            <w:vAlign w:val="center"/>
          </w:tcPr>
          <w:p>
            <w:pPr>
              <w:pStyle w:val="TableContents"/>
              <w:bidi w:val="0"/>
              <w:spacing w:before="0" w:after="283"/>
              <w:jc w:val="left"/>
              <w:rPr/>
            </w:pPr>
            <w:hyperlink w:anchor="b_014">
              <w:r>
                <w:rPr>
                  <w:rStyle w:val="InternetLink"/>
                </w:rPr>
                <w:t>INDEMNIFICATION FOR SECURITIES ACT LIABILITIES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S-11</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72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890"/>
        <w:gridCol w:w="60"/>
        <w:gridCol w:w="245"/>
      </w:tblGrid>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sz w:val="20"/>
                </w:rPr>
                <w:t>TRADEMARKS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iv</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v</w:t>
            </w:r>
          </w:p>
        </w:tc>
      </w:tr>
      <w:tr>
        <w:trPr/>
        <w:tc>
          <w:tcPr>
            <w:tcW w:w="6890" w:type="dxa"/>
            <w:tcBorders/>
            <w:shd w:fill="FFFFFF" w:val="clear"/>
            <w:vAlign w:val="center"/>
          </w:tcPr>
          <w:p>
            <w:pPr>
              <w:pStyle w:val="TableContents"/>
              <w:bidi w:val="0"/>
              <w:spacing w:before="0" w:after="283"/>
              <w:jc w:val="left"/>
              <w:rPr/>
            </w:pPr>
            <w:hyperlink w:anchor="a_004">
              <w:r>
                <w:rPr>
                  <w:rStyle w:val="InternetLink"/>
                  <w:sz w:val="20"/>
                </w:rPr>
                <w:t>SUMMARY OF PROSPECTUS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2</w:t>
            </w:r>
          </w:p>
        </w:tc>
      </w:tr>
      <w:tr>
        <w:trPr/>
        <w:tc>
          <w:tcPr>
            <w:tcW w:w="6890" w:type="dxa"/>
            <w:tcBorders/>
            <w:shd w:fill="FFFFFF" w:val="clear"/>
            <w:vAlign w:val="center"/>
          </w:tcPr>
          <w:p>
            <w:pPr>
              <w:pStyle w:val="TableContents"/>
              <w:bidi w:val="0"/>
              <w:spacing w:before="0" w:after="283"/>
              <w:jc w:val="left"/>
              <w:rPr/>
            </w:pPr>
            <w:hyperlink w:anchor="a_006">
              <w:r>
                <w:rPr>
                  <w:rStyle w:val="InternetLink"/>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6890" w:type="dxa"/>
            <w:tcBorders/>
            <w:shd w:fill="FFFFFF" w:val="clear"/>
            <w:vAlign w:val="center"/>
          </w:tcPr>
          <w:p>
            <w:pPr>
              <w:pStyle w:val="TableContents"/>
              <w:bidi w:val="0"/>
              <w:spacing w:before="0" w:after="283"/>
              <w:jc w:val="left"/>
              <w:rPr/>
            </w:pPr>
            <w:hyperlink w:anchor="a_008">
              <w:r>
                <w:rPr>
                  <w:rStyle w:val="InternetLink"/>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5</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13</w:t>
            </w:r>
          </w:p>
        </w:tc>
      </w:tr>
      <w:tr>
        <w:trPr/>
        <w:tc>
          <w:tcPr>
            <w:tcW w:w="6890" w:type="dxa"/>
            <w:tcBorders/>
            <w:shd w:fill="FFFFFF" w:val="clear"/>
            <w:vAlign w:val="center"/>
          </w:tcPr>
          <w:p>
            <w:pPr>
              <w:pStyle w:val="TableContents"/>
              <w:bidi w:val="0"/>
              <w:spacing w:before="0" w:after="283"/>
              <w:jc w:val="left"/>
              <w:rPr/>
            </w:pPr>
            <w:hyperlink w:anchor="a_010">
              <w:r>
                <w:rPr>
                  <w:rStyle w:val="InternetLink"/>
                  <w:sz w:val="20"/>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14</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15</w:t>
            </w:r>
          </w:p>
        </w:tc>
      </w:tr>
      <w:tr>
        <w:trPr/>
        <w:tc>
          <w:tcPr>
            <w:tcW w:w="6890" w:type="dxa"/>
            <w:tcBorders/>
            <w:shd w:fill="FFFFFF" w:val="clear"/>
            <w:vAlign w:val="center"/>
          </w:tcPr>
          <w:p>
            <w:pPr>
              <w:pStyle w:val="TableContents"/>
              <w:bidi w:val="0"/>
              <w:spacing w:before="0" w:after="283"/>
              <w:jc w:val="left"/>
              <w:rPr/>
            </w:pPr>
            <w:hyperlink w:anchor="a_012">
              <w:r>
                <w:rPr>
                  <w:rStyle w:val="InternetLink"/>
                  <w:sz w:val="20"/>
                </w:rPr>
                <w:t>GLOBAL SECURITIES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16</w:t>
            </w:r>
          </w:p>
        </w:tc>
      </w:tr>
      <w:tr>
        <w:trPr/>
        <w:tc>
          <w:tcPr>
            <w:tcW w:w="6890" w:type="dxa"/>
            <w:tcBorders/>
            <w:shd w:fill="CCEEFF" w:val="clear"/>
            <w:vAlign w:val="center"/>
          </w:tcPr>
          <w:p>
            <w:pPr>
              <w:pStyle w:val="TableContents"/>
              <w:bidi w:val="0"/>
              <w:spacing w:before="0" w:after="283"/>
              <w:jc w:val="left"/>
              <w:rPr/>
            </w:pPr>
            <w:hyperlink w:anchor="a_013">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6890" w:type="dxa"/>
            <w:tcBorders/>
            <w:shd w:fill="FFFFFF" w:val="clear"/>
            <w:vAlign w:val="center"/>
          </w:tcPr>
          <w:p>
            <w:pPr>
              <w:pStyle w:val="TableContents"/>
              <w:bidi w:val="0"/>
              <w:spacing w:before="0" w:after="283"/>
              <w:jc w:val="left"/>
              <w:rPr/>
            </w:pPr>
            <w:hyperlink w:anchor="a_014">
              <w:r>
                <w:rPr>
                  <w:rStyle w:val="InternetLink"/>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20</w:t>
            </w:r>
          </w:p>
        </w:tc>
      </w:tr>
      <w:tr>
        <w:trPr/>
        <w:tc>
          <w:tcPr>
            <w:tcW w:w="6890" w:type="dxa"/>
            <w:tcBorders/>
            <w:shd w:fill="CCEEFF" w:val="clear"/>
            <w:vAlign w:val="center"/>
          </w:tcPr>
          <w:p>
            <w:pPr>
              <w:pStyle w:val="TableContents"/>
              <w:bidi w:val="0"/>
              <w:spacing w:before="0" w:after="283"/>
              <w:jc w:val="left"/>
              <w:rPr/>
            </w:pPr>
            <w:hyperlink w:anchor="a_015">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6890" w:type="dxa"/>
            <w:tcBorders/>
            <w:shd w:fill="FFFFFF" w:val="clear"/>
            <w:vAlign w:val="center"/>
          </w:tcPr>
          <w:p>
            <w:pPr>
              <w:pStyle w:val="TableContents"/>
              <w:bidi w:val="0"/>
              <w:spacing w:before="0" w:after="283"/>
              <w:jc w:val="left"/>
              <w:rPr/>
            </w:pPr>
            <w:hyperlink w:anchor="a_016">
              <w:r>
                <w:rPr>
                  <w:rStyle w:val="InternetLink"/>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20</w:t>
            </w:r>
          </w:p>
        </w:tc>
      </w:tr>
      <w:tr>
        <w:trPr/>
        <w:tc>
          <w:tcPr>
            <w:tcW w:w="6890" w:type="dxa"/>
            <w:tcBorders/>
            <w:shd w:fill="CCEEFF" w:val="clear"/>
            <w:vAlign w:val="center"/>
          </w:tcPr>
          <w:p>
            <w:pPr>
              <w:pStyle w:val="TableContents"/>
              <w:bidi w:val="0"/>
              <w:spacing w:before="0" w:after="283"/>
              <w:jc w:val="left"/>
              <w:rPr/>
            </w:pPr>
            <w:hyperlink w:anchor="a_017">
              <w:r>
                <w:rPr>
                  <w:rStyle w:val="InternetLink"/>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21</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b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S-3 (File No. 333-282013) that we have filed with the U.S. Securities and Exchange Commission (the “SEC”) utilizing a “shelf” registration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terms of this offering of common stock and related matters and also adds to and updates information contained in the accompanying prospectus and the documents incorporated by reference herein and therein. The second part is the accompanying prospectus, including the documents incorporated by reference into the accompanying prospectus, which gives more general information, some of which may not apply to this offering of common stock. Generally, when we refer to this prospectus, we are referring to both parts of this document combined. To the extent the information contained in this prospectus supplement differs or varies from the information contained in the accompanying prospectus or any document incorporated by reference herein or therein filed prior to the date of this prospectus supplement, the information in this prospectus supplement shall control;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placement agent has not, authorized anyone to provide you with information other than that contained, or incorporated by reference, in this prospectus supplement and the accompanying prospectus and your reliance on any unauthorized information or representation is at your own risk. We are not, and the placement agent is not, making an offer to sell or soliciting any offer to buy our common stock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any prospectus supplement or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does not contain all of the information that is important to you. Before buying any of the common stock that we are offering, we urge you to carefully read this prospectus supplement and all of the information incorporated by reference herein and therein, as well as the additional information described under the heading “Where You Can Find More Information.”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shares of common stock only in jurisdictions where offers and sales are permitted. The distribution of this prospectus supplement,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unless otherwise indicated or the context otherwise requires, references to “we,” “us,” “our,” the “Company,” “Registrant,” and “Tigo” refer to the consolidated operations of Tigo Energy, Inc. (formerly known as Roth CH Acquisition IV Co.) and its subsidiaries. References to “ROCG” refer to the Company prior to the consummation of the Business Combination (as defined below) and references to “Legacy Tigo” refer to Tigo Energy, Inc. prior to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ROCG was originally formed as a Delaware corporation in February of 2019 for the purpose of effecting a merger, share exchange, asset acquisition, share purchase, recapitalization, reorganization, or other similar business combination with one or more businesses. On August 10, 2021, ROCG consummated its initial public offering, following which its securities began trading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2022, ROCG, Roth IV Merger Sub Inc., a Delaware corporation and a wholly-owned subsidiary of ROCG (“Merger Sub”), and Legacy Tigo, entered into an Agreement and Plan of Merger, as amended on April 6, 2023 (the “Merger Agreement”), pursuant to which, among other transactions, on May 23, 2023,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b_002"/>
      <w:bookmarkEnd w:id="3"/>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documents incorporated by reference in this prospectus supplement contain “forward-looking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supplement and the documents incorporated by reference in this prospectus supplement,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prospectus supplement and the documents incorporated by reference in this prospectus supplement may include, for example, statements about:</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6"/>
        <w:gridCol w:w="295"/>
        <w:gridCol w:w="9844"/>
      </w:tblGrid>
      <w:tr>
        <w:trPr/>
        <w:tc>
          <w:tcPr>
            <w:tcW w:w="66"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pPr>
            <w:r>
              <w:rPr/>
              <w:t>●</w:t>
            </w:r>
          </w:p>
        </w:tc>
        <w:tc>
          <w:tcPr>
            <w:tcW w:w="9844" w:type="dxa"/>
            <w:tcBorders/>
            <w:shd w:fill="FFFFFF" w:val="clear"/>
            <w:vAlign w:val="center"/>
          </w:tcPr>
          <w:p>
            <w:pPr>
              <w:pStyle w:val="TableContents"/>
              <w:bidi w:val="0"/>
              <w:spacing w:before="0" w:after="283"/>
              <w:jc w:val="both"/>
              <w:rPr/>
            </w:pPr>
            <w:r>
              <w:rPr/>
              <w:t>the Company’s ability to meet future liquidity requirements;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1"/>
        <w:gridCol w:w="230"/>
        <w:gridCol w:w="9924"/>
      </w:tblGrid>
      <w:tr>
        <w:trPr/>
        <w:tc>
          <w:tcPr>
            <w:tcW w:w="51"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pPr>
            <w:r>
              <w:rPr/>
              <w:t>●</w:t>
            </w:r>
          </w:p>
        </w:tc>
        <w:tc>
          <w:tcPr>
            <w:tcW w:w="9924" w:type="dxa"/>
            <w:tcBorders/>
            <w:shd w:fill="FFFFFF" w:val="clear"/>
            <w:vAlign w:val="center"/>
          </w:tcPr>
          <w:p>
            <w:pPr>
              <w:pStyle w:val="TableContents"/>
              <w:bidi w:val="0"/>
              <w:spacing w:before="0" w:after="283"/>
              <w:jc w:val="both"/>
              <w:rPr/>
            </w:pPr>
            <w:r>
              <w:rPr/>
              <w:t>the projected financial information and market opportunities of the Company;</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2"/>
        <w:gridCol w:w="234"/>
        <w:gridCol w:w="9919"/>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vAlign w:val="center"/>
          </w:tcPr>
          <w:p>
            <w:pPr>
              <w:pStyle w:val="TableContents"/>
              <w:bidi w:val="0"/>
              <w:spacing w:before="0" w:after="283"/>
              <w:jc w:val="left"/>
              <w:rPr/>
            </w:pPr>
            <w:r>
              <w:rPr/>
              <w:t>●</w:t>
            </w:r>
          </w:p>
        </w:tc>
        <w:tc>
          <w:tcPr>
            <w:tcW w:w="9919" w:type="dxa"/>
            <w:tcBorders/>
            <w:shd w:fill="FFFFFF" w:val="clear"/>
            <w:vAlign w:val="center"/>
          </w:tcPr>
          <w:p>
            <w:pPr>
              <w:pStyle w:val="TableContents"/>
              <w:bidi w:val="0"/>
              <w:spacing w:before="0" w:after="283"/>
              <w:jc w:val="both"/>
              <w:rPr/>
            </w:pPr>
            <w:r>
              <w:rPr/>
              <w:t>the Company’s ability to meet the continued listing requirements of Nasdaq;</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2"/>
        <w:gridCol w:w="235"/>
        <w:gridCol w:w="9918"/>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pPr>
            <w:r>
              <w:rPr/>
              <w:t>●</w:t>
            </w:r>
          </w:p>
        </w:tc>
        <w:tc>
          <w:tcPr>
            <w:tcW w:w="9918" w:type="dxa"/>
            <w:tcBorders/>
            <w:shd w:fill="FFFFFF" w:val="clear"/>
            <w:vAlign w:val="center"/>
          </w:tcPr>
          <w:p>
            <w:pPr>
              <w:pStyle w:val="TableContents"/>
              <w:bidi w:val="0"/>
              <w:spacing w:before="0" w:after="283"/>
              <w:jc w:val="both"/>
              <w:rPr/>
            </w:pPr>
            <w:r>
              <w:rPr/>
              <w:t>the Company’s ability to develop and sell its product offerings and services;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Company’s ability to manage risks associated with seasonal trends and the cyclical nature of the solar industry;</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3"/>
        <w:gridCol w:w="284"/>
        <w:gridCol w:w="9858"/>
      </w:tblGrid>
      <w:tr>
        <w:trPr/>
        <w:tc>
          <w:tcPr>
            <w:tcW w:w="63"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pPr>
            <w:r>
              <w:rPr/>
              <w:t>●</w:t>
            </w:r>
          </w:p>
        </w:tc>
        <w:tc>
          <w:tcPr>
            <w:tcW w:w="9858" w:type="dxa"/>
            <w:tcBorders/>
            <w:shd w:fill="FFFFFF" w:val="clear"/>
            <w:vAlign w:val="center"/>
          </w:tcPr>
          <w:p>
            <w:pPr>
              <w:pStyle w:val="TableContents"/>
              <w:bidi w:val="0"/>
              <w:spacing w:before="0" w:after="283"/>
              <w:jc w:val="both"/>
              <w:rPr/>
            </w:pPr>
            <w:r>
              <w:rPr/>
              <w:t>the potential liquidity and trading of the Company’s securities;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0"/>
        <w:gridCol w:w="270"/>
        <w:gridCol w:w="9875"/>
      </w:tblGrid>
      <w:tr>
        <w:trPr/>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pPr>
            <w:r>
              <w:rPr/>
              <w:t>●</w:t>
            </w:r>
          </w:p>
        </w:tc>
        <w:tc>
          <w:tcPr>
            <w:tcW w:w="9875" w:type="dxa"/>
            <w:tcBorders/>
            <w:shd w:fill="FFFFFF" w:val="clear"/>
            <w:vAlign w:val="center"/>
          </w:tcPr>
          <w:p>
            <w:pPr>
              <w:pStyle w:val="TableContents"/>
              <w:bidi w:val="0"/>
              <w:spacing w:before="0" w:after="283"/>
              <w:jc w:val="both"/>
              <w:rPr/>
            </w:pPr>
            <w:r>
              <w:rPr/>
              <w:t>the Company’s ability to acquire and protect intellectual property;</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Company’s ability to manage risks associated with the Company’s dependence on a small number of outside contract manufacturers, primarily in China, Thailand and Vietnam;</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1"/>
        <w:gridCol w:w="232"/>
        <w:gridCol w:w="9922"/>
      </w:tblGrid>
      <w:tr>
        <w:trPr/>
        <w:tc>
          <w:tcPr>
            <w:tcW w:w="51"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pPr>
            <w:r>
              <w:rPr/>
              <w:t>●</w:t>
            </w:r>
          </w:p>
        </w:tc>
        <w:tc>
          <w:tcPr>
            <w:tcW w:w="9922" w:type="dxa"/>
            <w:tcBorders/>
            <w:shd w:fill="FFFFFF" w:val="clear"/>
            <w:vAlign w:val="center"/>
          </w:tcPr>
          <w:p>
            <w:pPr>
              <w:pStyle w:val="TableContents"/>
              <w:bidi w:val="0"/>
              <w:spacing w:before="0" w:after="283"/>
              <w:jc w:val="both"/>
              <w:rPr/>
            </w:pPr>
            <w:r>
              <w:rPr/>
              <w:t>the Company’s ability to continue working with leading solar manufacturers;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Company’s ability to respond to fluctuations in foreign currency exchange rates, trade tariffs or other trade barriers, and political unrest and regulatory changes in the markets into which the Company expands or otherwise operates in;</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5"/>
        <w:gridCol w:w="249"/>
        <w:gridCol w:w="9901"/>
      </w:tblGrid>
      <w:tr>
        <w:trPr/>
        <w:tc>
          <w:tcPr>
            <w:tcW w:w="55" w:type="dxa"/>
            <w:tcBorders/>
            <w:shd w:fill="FFFFFF" w:val="clear"/>
            <w:vAlign w:val="center"/>
          </w:tcPr>
          <w:p>
            <w:pPr>
              <w:pStyle w:val="TableContents"/>
              <w:bidi w:val="0"/>
              <w:spacing w:before="0" w:after="283"/>
              <w:jc w:val="left"/>
              <w:rPr>
                <w:sz w:val="4"/>
                <w:szCs w:val="4"/>
              </w:rPr>
            </w:pPr>
            <w:r>
              <w:rPr>
                <w:sz w:val="4"/>
                <w:szCs w:val="4"/>
              </w:rPr>
            </w:r>
          </w:p>
        </w:tc>
        <w:tc>
          <w:tcPr>
            <w:tcW w:w="249" w:type="dxa"/>
            <w:tcBorders/>
            <w:shd w:fill="FFFFFF" w:val="clear"/>
            <w:vAlign w:val="center"/>
          </w:tcPr>
          <w:p>
            <w:pPr>
              <w:pStyle w:val="TableContents"/>
              <w:bidi w:val="0"/>
              <w:spacing w:before="0" w:after="283"/>
              <w:jc w:val="left"/>
              <w:rPr/>
            </w:pPr>
            <w:r>
              <w:rPr/>
              <w:t>●</w:t>
            </w:r>
          </w:p>
        </w:tc>
        <w:tc>
          <w:tcPr>
            <w:tcW w:w="9901" w:type="dxa"/>
            <w:tcBorders/>
            <w:shd w:fill="FFFFFF" w:val="clear"/>
            <w:vAlign w:val="center"/>
          </w:tcPr>
          <w:p>
            <w:pPr>
              <w:pStyle w:val="TableContents"/>
              <w:bidi w:val="0"/>
              <w:spacing w:before="0" w:after="283"/>
              <w:jc w:val="both"/>
              <w:rPr/>
            </w:pPr>
            <w:r>
              <w:rPr/>
              <w:t>the Company’s ability to enhance future operating and financial results;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4"/>
        <w:gridCol w:w="201"/>
        <w:gridCol w:w="9960"/>
      </w:tblGrid>
      <w:tr>
        <w:trPr/>
        <w:tc>
          <w:tcPr>
            <w:tcW w:w="44"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pPr>
            <w:r>
              <w:rPr/>
              <w:t>the Company’s ability to forecast demand accurately and monetize its inventory on-hand;</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8"/>
        <w:gridCol w:w="172"/>
        <w:gridCol w:w="99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2" w:type="dxa"/>
            <w:tcBorders/>
            <w:shd w:fill="FFFFFF" w:val="clear"/>
            <w:vAlign w:val="center"/>
          </w:tcPr>
          <w:p>
            <w:pPr>
              <w:pStyle w:val="TableContents"/>
              <w:bidi w:val="0"/>
              <w:spacing w:before="0" w:after="283"/>
              <w:jc w:val="left"/>
              <w:rPr/>
            </w:pPr>
            <w:r>
              <w:rPr/>
              <w:t>●</w:t>
            </w:r>
          </w:p>
        </w:tc>
        <w:tc>
          <w:tcPr>
            <w:tcW w:w="9995" w:type="dxa"/>
            <w:tcBorders/>
            <w:shd w:fill="FFFFFF" w:val="clear"/>
            <w:vAlign w:val="center"/>
          </w:tcPr>
          <w:p>
            <w:pPr>
              <w:pStyle w:val="TableContents"/>
              <w:bidi w:val="0"/>
              <w:spacing w:before="0" w:after="283"/>
              <w:jc w:val="both"/>
              <w:rPr/>
            </w:pPr>
            <w:r>
              <w:rPr/>
              <w:t>the Company’s ability to retain or recruit, or changes required in, its officers, key employees or directors;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9"/>
        <w:gridCol w:w="222"/>
        <w:gridCol w:w="9934"/>
      </w:tblGrid>
      <w:tr>
        <w:trPr/>
        <w:tc>
          <w:tcPr>
            <w:tcW w:w="49"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pPr>
            <w:r>
              <w:rPr/>
              <w:t>●</w:t>
            </w:r>
          </w:p>
        </w:tc>
        <w:tc>
          <w:tcPr>
            <w:tcW w:w="9934" w:type="dxa"/>
            <w:tcBorders/>
            <w:shd w:fill="FFFFFF" w:val="clear"/>
            <w:vAlign w:val="center"/>
          </w:tcPr>
          <w:p>
            <w:pPr>
              <w:pStyle w:val="TableContents"/>
              <w:bidi w:val="0"/>
              <w:spacing w:before="0" w:after="283"/>
              <w:jc w:val="both"/>
              <w:rPr/>
            </w:pPr>
            <w:r>
              <w:rPr/>
              <w:t>the Company’s ability to implement and maintain effective internal controls; and</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3"/>
        <w:gridCol w:w="194"/>
        <w:gridCol w:w="9968"/>
      </w:tblGrid>
      <w:tr>
        <w:trPr/>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94" w:type="dxa"/>
            <w:tcBorders/>
            <w:shd w:fill="FFFFFF" w:val="clear"/>
            <w:vAlign w:val="center"/>
          </w:tcPr>
          <w:p>
            <w:pPr>
              <w:pStyle w:val="TableContents"/>
              <w:bidi w:val="0"/>
              <w:spacing w:before="0" w:after="283"/>
              <w:jc w:val="left"/>
              <w:rPr/>
            </w:pPr>
            <w:r>
              <w:rPr/>
              <w:t>●</w:t>
            </w:r>
          </w:p>
        </w:tc>
        <w:tc>
          <w:tcPr>
            <w:tcW w:w="9968" w:type="dxa"/>
            <w:tcBorders/>
            <w:shd w:fill="FFFFFF" w:val="clear"/>
            <w:vAlign w:val="center"/>
          </w:tcPr>
          <w:p>
            <w:pPr>
              <w:pStyle w:val="TableContents"/>
              <w:bidi w:val="0"/>
              <w:spacing w:before="0" w:after="283"/>
              <w:jc w:val="both"/>
              <w:rPr/>
            </w:pPr>
            <w:r>
              <w:rPr/>
              <w:t>factors relating to the Company’s business, operations and financial performance, including:</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6"/>
        <w:gridCol w:w="210"/>
        <w:gridCol w:w="9949"/>
      </w:tblGrid>
      <w:tr>
        <w:trPr/>
        <w:tc>
          <w:tcPr>
            <w:tcW w:w="46"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pPr>
            <w:r>
              <w:rPr/>
              <w:t>○</w:t>
            </w:r>
          </w:p>
        </w:tc>
        <w:tc>
          <w:tcPr>
            <w:tcW w:w="9949" w:type="dxa"/>
            <w:tcBorders/>
            <w:shd w:fill="FFFFFF" w:val="clear"/>
            <w:vAlign w:val="center"/>
          </w:tcPr>
          <w:p>
            <w:pPr>
              <w:pStyle w:val="TableContents"/>
              <w:bidi w:val="0"/>
              <w:spacing w:before="0" w:after="283"/>
              <w:jc w:val="both"/>
              <w:rPr/>
            </w:pPr>
            <w:r>
              <w:rPr/>
              <w:t>the Company’s ability to comply with laws and regulations applicable to its business;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7"/>
        <w:gridCol w:w="215"/>
        <w:gridCol w:w="9943"/>
      </w:tblGrid>
      <w:tr>
        <w:trPr/>
        <w:tc>
          <w:tcPr>
            <w:tcW w:w="47"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pPr>
            <w:r>
              <w:rPr/>
              <w:t>○</w:t>
            </w:r>
          </w:p>
        </w:tc>
        <w:tc>
          <w:tcPr>
            <w:tcW w:w="9943" w:type="dxa"/>
            <w:tcBorders/>
            <w:shd w:fill="FFFFFF" w:val="clear"/>
            <w:vAlign w:val="center"/>
          </w:tcPr>
          <w:p>
            <w:pPr>
              <w:pStyle w:val="TableContents"/>
              <w:bidi w:val="0"/>
              <w:spacing w:before="0" w:after="283"/>
              <w:jc w:val="both"/>
              <w:rPr/>
            </w:pPr>
            <w:r>
              <w:rPr/>
              <w:t>market conditions and global and economic factors beyond the Company’s control;</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5"/>
        <w:gridCol w:w="204"/>
        <w:gridCol w:w="9956"/>
      </w:tblGrid>
      <w:tr>
        <w:trPr/>
        <w:tc>
          <w:tcPr>
            <w:tcW w:w="45" w:type="dxa"/>
            <w:tcBorders/>
            <w:shd w:fill="FFFFFF" w:val="clear"/>
            <w:vAlign w:val="center"/>
          </w:tcPr>
          <w:p>
            <w:pPr>
              <w:pStyle w:val="TableContents"/>
              <w:bidi w:val="0"/>
              <w:spacing w:before="0" w:after="283"/>
              <w:jc w:val="left"/>
              <w:rPr>
                <w:sz w:val="4"/>
                <w:szCs w:val="4"/>
              </w:rPr>
            </w:pPr>
            <w:r>
              <w:rPr>
                <w:sz w:val="4"/>
                <w:szCs w:val="4"/>
              </w:rPr>
            </w:r>
          </w:p>
        </w:tc>
        <w:tc>
          <w:tcPr>
            <w:tcW w:w="204" w:type="dxa"/>
            <w:tcBorders/>
            <w:shd w:fill="FFFFFF" w:val="clear"/>
            <w:vAlign w:val="center"/>
          </w:tcPr>
          <w:p>
            <w:pPr>
              <w:pStyle w:val="TableContents"/>
              <w:bidi w:val="0"/>
              <w:spacing w:before="0" w:after="283"/>
              <w:jc w:val="left"/>
              <w:rPr/>
            </w:pPr>
            <w:r>
              <w:rPr/>
              <w:t>○</w:t>
            </w:r>
          </w:p>
        </w:tc>
        <w:tc>
          <w:tcPr>
            <w:tcW w:w="9956" w:type="dxa"/>
            <w:tcBorders/>
            <w:shd w:fill="FFFFFF" w:val="clear"/>
            <w:vAlign w:val="center"/>
          </w:tcPr>
          <w:p>
            <w:pPr>
              <w:pStyle w:val="TableContents"/>
              <w:bidi w:val="0"/>
              <w:spacing w:before="0" w:after="283"/>
              <w:jc w:val="both"/>
              <w:rPr/>
            </w:pPr>
            <w:r>
              <w:rPr/>
              <w:t>the Company’s ability to compete in the highly competitive and evolving solar industry;</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Company’s ability to continue to develop new products and innovations to meet constantly evolving customer demands;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Company’s ability to enter into, successfully maintain and manage relationships with partners and distributors; and</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Company’s ability to acquire or make investments in other businesses, patents, technologies, products or services to grow the business, and realize the anticipated benefits therefrom.</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you that the foregoing list may not contain all of the forward-looking statements made in this prospectus supplement and the documents incorporated by reference in this prospectus supplement. These forward-looking statements are only predictions based on the Company’s current expectations and projections about future events and are subject to a number of risks, uncertainties and assumptions, including those described in this prospectus supplement and the documents incorporated by reference in this prospectus supplement, in particular the risks described in the section titled “Risk Factors” of this prospectus supplement and the documents incorporated by reference in this prospectus supplement.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prospectus supplement and the documents incorporated by reference in this prospectus supplement may not occur, and actual results could differ materially and adversely from those anticipated or implied in the forward-looking statements in this prospectus supplement and the documents incorporated by reference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prospectus supplement and the documents incorporated by reference in this prospectus supplement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prospectus supplement to conform these statements to actual results or to changes in expectations, except as required by law. You should read this prospectus supplement and the documents incorporated by reference in this prospectus supplement with the understanding that the actual future results, levels of activity, performance, events and circumstances of the Company may be materially different from what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b_003"/>
      <w:bookmarkEnd w:id="4"/>
      <w:r>
        <w:rPr>
          <w:rFonts w:ascii="Times New Roman;Times;Serif" w:hAnsi="Times New Roman;Times;Serif"/>
          <w:b/>
          <w:i w:val="false"/>
          <w:caps w:val="false"/>
          <w:smallCaps w:val="false"/>
          <w:sz w:val="20"/>
          <w:bdr w:val="single" w:sz="12" w:space="1" w:color="000000"/>
        </w:rPr>
        <w:t xml:space="preserve">PROSPECTUS SUPPLEMENT SUMMARY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provides a general overview of selected information and does not contain all of the information you should consider before buying our common stock. Before you decide to invest in our common stock, you should read the entire prospectus supplement and the accompanying prospectus carefully, including the risk factors and the financial statements and related notes and other information included or incorporated by reference in this prospectus supplement and the accompanying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served the solar energy industry with advanced power electronics, including the manufacturing and development of our Module Level Power Electronics (“MLPEs”), since our inception in 2007. Our primary focus has been on MLPEs, which are devices that reside under the solar panel and enhance safety features and energy production for the installer and system owner. Our MLPEs are designed to be highly flexible solutions that work with other inverters and modules, providing the installer with an open-system solution and a variety of choices when designing a system for the consumer.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Solutions (“GO ESS”), which provides solar energy storage management capabilities, and our Energy Intelligence (“EI”) platform which provides monitoring and energy demand forecasting capabilities. We began offering our energy consumption and demand forecasting software capabilities with the launch of Predict+, in the first quarter of 2023. Our products and services power everything from single-digit kilowatt residential systems to commercial, industrial, and utility systems, scaling to hundreds of megawatts on rooftop, ground-mounted, and floating applications.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Recent Developments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Patent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16, 2025, we and Tigo Energy AI Ltd. (together, “Seller”) entered into a patent purchase agreement (the “Patent Purchase Agreement”) with Tigo Energy Innovations LLC (the “Purchaser”), pursuant to which Seller sold to the Purchaser certain patents (the “Assigned Patents”) for an aggregate purchase price between $17,750,000 and $17,950,000 (determined in accordance with the terms of the Patent Purchase Agreement), which shall be paid as follows: (i) $15,000,000 was paid at the initial closing (the “Initial Closing”), and (ii) between $2,750,000 and $2,950,000 (the “Holdback Amount”) will be paid not more than four (4) months following the Initial Closing; provided, that the Holdback Amount will only be paid upon the satisfaction of certain conditions. In addition, Seller is entitled to receive up to $5,000,000 of certain royalty payments after the Initial Closing, subject to the terms and conditions of the Patent Purchase Agreement. Seller also received a non-exclusive grant-back license to practice the Assigned Patents in connection with Seller’s products.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Repayment of Convertible Promissory Note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17, 2025, we paid $51,250,000 to L1 Energy Capital Management S.a.r.l in full satisfaction of our obligations under that certain Convertible Promissory Note Purchase Agreement and the Convertible Promissory Note (the “Convertible Note”), each dated January 9, 2023. The Convertible Note was originally issued on January 9, 2023 in an aggregate principal amount of $50.0 million and accrued interest at a rate of 5.0% per year. The Convertible Note was set to mature on January 9, 2026.</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on February 13, 2019, under the name Roth CH Acquisition IV Co., in order to effectuate a merger, capital stock exchange, asset acquisition, stock purchase, reorganization or similar business combination with one or more businesses. ROCG completed its initial public offering on August 10, 2021. On May 23, 2023, ROCG and Legacy Tigo consummated the Business Combination. In connection with the closing of the Business Combination, ROCG changed its name to “Tigo Energy,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mailing address of our principal executive office is 983 University Avenue, Suite B, Los Gatos, California 95032, and our telephone number is (408) 402-0802. Our website is https://www.tigoenergy.com/. Information contained on our website is not a part of this prospectus, and the inclusion of our website address in this prospectus is an inactive textual reference only. Our common stock trades on Nasdaq under the symbol “TYGO.”</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Section 2(a) of the Securities Act of 1933, as amended, or the Securities Act, as modified by the Jumpstart Our Business Startups Act of 2012, or the JOBS Act, and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under the JOBS Act until the earliest of (i) the last day of the fiscal year ending after the fifth anniversary of the completion of the initial public offering of our securities, (ii) the last date of our fiscal year in which we have a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Smaller Reporting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we qualify as a “smaller reporting company” as defined in Item 10(f)(1) of Regulation S-K under the Securities Act. Smaller reporting companies may take advantage of certain reduced disclosure obligations, including, among other things, providing only two years of audited financial statements. We will remain a smaller reporting company until the last day of the fiscal year in which we fail to meet the following criteria: (i) the market value of our common stock held by non-affiliates does not exceed $250 million as of the end of that fiscal year’s second fiscal quarter; or (ii) our annual revenues do not exceed $100 million during such completed fiscal year and the market value of our common stock held by non-affiliates does not exceed $700 million as of the end of that fiscal year’s second fiscal quarter. To the extent we take advantage of such reduced disclosure obligations, it may also make comparison of our financial statements with other public companies difficult or impossible.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b_004"/>
      <w:bookmarkEnd w:id="5"/>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873"/>
        <w:gridCol w:w="8332"/>
      </w:tblGrid>
      <w:tr>
        <w:trPr/>
        <w:tc>
          <w:tcPr>
            <w:tcW w:w="1873" w:type="dxa"/>
            <w:tcBorders/>
            <w:vAlign w:val="center"/>
          </w:tcPr>
          <w:p>
            <w:pPr>
              <w:pStyle w:val="TableContents"/>
              <w:bidi w:val="0"/>
              <w:spacing w:before="0" w:after="283"/>
              <w:ind w:left="0" w:right="0" w:hanging="180"/>
              <w:jc w:val="left"/>
              <w:rPr>
                <w:b/>
                <w:sz w:val="20"/>
              </w:rPr>
            </w:pPr>
            <w:r>
              <w:rPr>
                <w:b/>
                <w:sz w:val="20"/>
              </w:rPr>
              <w:t>Common stock offered by us</w:t>
            </w:r>
          </w:p>
        </w:tc>
        <w:tc>
          <w:tcPr>
            <w:tcW w:w="8332"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 shares of common stock.</w:t>
            </w:r>
          </w:p>
        </w:tc>
      </w:tr>
      <w:tr>
        <w:trPr/>
        <w:tc>
          <w:tcPr>
            <w:tcW w:w="1873"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b/>
                <w:sz w:val="20"/>
              </w:rPr>
            </w:pPr>
            <w:r>
              <w:rPr>
                <w:b/>
                <w:sz w:val="20"/>
              </w:rPr>
              <w:t>Common stock outstanding following this offering</w:t>
            </w:r>
          </w:p>
        </w:tc>
        <w:tc>
          <w:tcPr>
            <w:tcW w:w="8332"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75,543,244 shares of common stock.</w:t>
            </w:r>
          </w:p>
        </w:tc>
      </w:tr>
      <w:tr>
        <w:trPr/>
        <w:tc>
          <w:tcPr>
            <w:tcW w:w="1873"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b/>
                <w:sz w:val="20"/>
              </w:rPr>
            </w:pPr>
            <w:r>
              <w:rPr>
                <w:b/>
                <w:sz w:val="20"/>
              </w:rPr>
              <w:t>Offering Price</w:t>
            </w:r>
          </w:p>
        </w:tc>
        <w:tc>
          <w:tcPr>
            <w:tcW w:w="8332" w:type="dxa"/>
            <w:tcBorders/>
            <w:vAlign w:val="center"/>
          </w:tcPr>
          <w:p>
            <w:pPr>
              <w:pStyle w:val="TableContents"/>
              <w:bidi w:val="0"/>
              <w:spacing w:before="0" w:after="283"/>
              <w:ind w:left="0" w:right="0" w:hanging="180"/>
              <w:jc w:val="both"/>
              <w:rPr>
                <w:sz w:val="20"/>
              </w:rPr>
            </w:pPr>
            <w:r>
              <w:rPr>
                <w:sz w:val="20"/>
              </w:rPr>
              <w:t xml:space="preserve">$3.00 per share of common stock. </w:t>
            </w:r>
          </w:p>
        </w:tc>
      </w:tr>
      <w:tr>
        <w:trPr/>
        <w:tc>
          <w:tcPr>
            <w:tcW w:w="1873"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ind w:left="0" w:right="0" w:hanging="180"/>
              <w:jc w:val="both"/>
              <w:rPr/>
            </w:pPr>
            <w:r>
              <w:rPr/>
              <w:t> </w:t>
            </w:r>
          </w:p>
        </w:tc>
      </w:tr>
      <w:tr>
        <w:trPr/>
        <w:tc>
          <w:tcPr>
            <w:tcW w:w="1873" w:type="dxa"/>
            <w:tcBorders/>
            <w:vAlign w:val="center"/>
          </w:tcPr>
          <w:p>
            <w:pPr>
              <w:pStyle w:val="TableContents"/>
              <w:bidi w:val="0"/>
              <w:spacing w:before="0" w:after="283"/>
              <w:jc w:val="left"/>
              <w:rPr>
                <w:b/>
                <w:sz w:val="20"/>
              </w:rPr>
            </w:pPr>
            <w:r>
              <w:rPr>
                <w:b/>
                <w:sz w:val="20"/>
              </w:rPr>
              <w:t>Use of Proceeds</w:t>
            </w:r>
          </w:p>
        </w:tc>
        <w:tc>
          <w:tcPr>
            <w:tcW w:w="8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of approximately $14.0 million from the sale of the shares of common stock offered by us in this offering, after deducting the placement agent fees and estimated offering expenses payable by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for general corporate and working capital purposes. See the section titled “Use of Proceeds” on page S-6 of this prospectus supplement.</w:t>
            </w:r>
          </w:p>
          <w:p>
            <w:pPr>
              <w:pStyle w:val="TableContents"/>
              <w:bidi w:val="0"/>
              <w:spacing w:before="0" w:after="0"/>
              <w:ind w:left="0" w:right="0" w:hanging="180"/>
              <w:jc w:val="both"/>
              <w:rPr>
                <w:caps w:val="false"/>
                <w:smallCaps w:val="false"/>
              </w:rPr>
            </w:pPr>
            <w:r>
              <w:rPr>
                <w:caps w:val="false"/>
                <w:smallCaps w:val="false"/>
              </w:rPr>
              <w:t> </w:t>
            </w:r>
          </w:p>
        </w:tc>
      </w:tr>
      <w:tr>
        <w:trPr/>
        <w:tc>
          <w:tcPr>
            <w:tcW w:w="1873" w:type="dxa"/>
            <w:tcBorders/>
            <w:vAlign w:val="center"/>
          </w:tcPr>
          <w:p>
            <w:pPr>
              <w:pStyle w:val="TableContents"/>
              <w:bidi w:val="0"/>
              <w:spacing w:before="0" w:after="283"/>
              <w:jc w:val="left"/>
              <w:rPr>
                <w:b/>
                <w:sz w:val="20"/>
              </w:rPr>
            </w:pPr>
            <w:r>
              <w:rPr>
                <w:b/>
                <w:sz w:val="20"/>
              </w:rPr>
              <w:t>Risk Factors</w:t>
            </w:r>
          </w:p>
        </w:tc>
        <w:tc>
          <w:tcPr>
            <w:tcW w:w="8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beginning on page S-4 of this prospectus supplement and the other information included in, or incorporated by reference into, this prospectus supplement for a discussion of certain factors you should carefully consider before deciding to invest in shares of our common stock.</w:t>
            </w:r>
          </w:p>
          <w:p>
            <w:pPr>
              <w:pStyle w:val="TableContents"/>
              <w:bidi w:val="0"/>
              <w:spacing w:before="0" w:after="0"/>
              <w:ind w:left="0" w:right="0" w:hanging="180"/>
              <w:jc w:val="both"/>
              <w:rPr>
                <w:caps w:val="false"/>
                <w:smallCaps w:val="false"/>
              </w:rPr>
            </w:pPr>
            <w:r>
              <w:rPr>
                <w:caps w:val="false"/>
                <w:smallCaps w:val="false"/>
              </w:rPr>
              <w:t> </w:t>
            </w:r>
          </w:p>
        </w:tc>
      </w:tr>
      <w:tr>
        <w:trPr/>
        <w:tc>
          <w:tcPr>
            <w:tcW w:w="1873" w:type="dxa"/>
            <w:tcBorders/>
            <w:vAlign w:val="center"/>
          </w:tcPr>
          <w:p>
            <w:pPr>
              <w:pStyle w:val="TableContents"/>
              <w:bidi w:val="0"/>
              <w:spacing w:before="0" w:after="283"/>
              <w:jc w:val="left"/>
              <w:rPr>
                <w:b/>
                <w:sz w:val="20"/>
              </w:rPr>
            </w:pPr>
            <w:r>
              <w:rPr>
                <w:b/>
                <w:sz w:val="20"/>
              </w:rPr>
              <w:t xml:space="preserve">Dividend Policy </w:t>
            </w:r>
          </w:p>
        </w:tc>
        <w:tc>
          <w:tcPr>
            <w:tcW w:w="8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dividends on our capital stock to date. We anticipate that we will retain all of our future earnings, if any, for use in the operation and expansion of our business and do not anticipate paying cash dividends in the foreseeable future. See the section titled “Dividend Policy” on page S-7 of this prospectus supplement.</w:t>
            </w:r>
          </w:p>
          <w:p>
            <w:pPr>
              <w:pStyle w:val="TableContents"/>
              <w:bidi w:val="0"/>
              <w:spacing w:before="0" w:after="0"/>
              <w:ind w:left="0" w:right="0" w:hanging="180"/>
              <w:jc w:val="both"/>
              <w:rPr>
                <w:caps w:val="false"/>
                <w:smallCaps w:val="false"/>
              </w:rPr>
            </w:pPr>
            <w:r>
              <w:rPr>
                <w:caps w:val="false"/>
                <w:smallCaps w:val="false"/>
              </w:rPr>
              <w:t> </w:t>
            </w:r>
          </w:p>
        </w:tc>
      </w:tr>
      <w:tr>
        <w:trPr/>
        <w:tc>
          <w:tcPr>
            <w:tcW w:w="1873" w:type="dxa"/>
            <w:tcBorders/>
            <w:vAlign w:val="center"/>
          </w:tcPr>
          <w:p>
            <w:pPr>
              <w:pStyle w:val="TableContents"/>
              <w:bidi w:val="0"/>
              <w:spacing w:before="0" w:after="283"/>
              <w:jc w:val="left"/>
              <w:rPr>
                <w:b/>
                <w:sz w:val="20"/>
              </w:rPr>
            </w:pPr>
            <w:r>
              <w:rPr>
                <w:b/>
                <w:sz w:val="20"/>
              </w:rPr>
              <w:t>Nasdaq Stock Market symbol</w:t>
            </w:r>
          </w:p>
        </w:tc>
        <w:tc>
          <w:tcPr>
            <w:tcW w:w="8332"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TYGO”</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number of shares of our common stock to be outstanding prior to this offering as shown above is based on 70,543,244 shares of our common stock legally outstanding as of February 20, 2026, and excludes: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4,524,412 shares of our common stock issuable upon the exercise of stock options outstanding as of February 20, 2026, having a weighted average exercise price of $1.61 per share;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3,547,447 shares of common stock issuable upon the vesting of restricted stock units outstanding as of February 20,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1,760,048 shares of common stock issuable upon the vesting of performance stock units outstanding as of February 20, 2026;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aggregate of 2,648,545 shares of common stock reserved for future issuance under our equity incentive plan as of February 20, 2026.</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b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Investment in our common stock offered pursuant to this prospectus supplement involves risks. Our business, financial condition, and results of operations could be materially adversely affected by any of these risks. The trading price of our securities could decline due to any of these risks, and you may lose all or part of your investment. Before you make an investment decision regarding the securities, you should carefully consider the risks and uncertainties in our most recent Annual Report on Form 10-K, and in any updates to those Risk Factors in our Quarterly Reports on Form 10-Q, together with all of the other information appearing in this prospectus supplement or incorporated by reference into this prospectus supplement and the accompanying prospectus, in light of your particular investment objectives and financial circumstances. The risks described in those documents are not the only ones that we face. Additional risks and uncertainties not presently known to us or that we currently deem immaterial may also affect our business operations, our financial results and the value of the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Risks Relating to our Company, our common stock and this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broad discretion to determine how to use the funds raised in this offering, and may use them in ways that may not enhance our operating results or the price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proceeds from this offering, and we could spend the proceeds from this offering in ways our stockholders may not agree with or that do not yield a favorable return, if at all. Because of the number and variability of factors that will determine our use of the proceeds from this offering, their ultimate use may vary substantially from their currently intended use. We expect to use the proceeds from this offering for working capital and other general corporate purposes. If we do not invest or apply the proceeds from this offering in ways that enhance stockholder value, we may fail to achieve expected financial results, which could cause our stock price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the value of our common stock may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the Company’s securities could contribute to the loss of all or part of your investment. The trading price of the Company’s securities has been, and could continue to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the Company’s securities may include:</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actual or anticipated fluctuations in our quarterly financial results or the quarterly financial results of companies perceived to be similar to us;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2"/>
        <w:gridCol w:w="232"/>
        <w:gridCol w:w="9921"/>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pPr>
            <w:r>
              <w:rPr/>
              <w:t>●</w:t>
            </w:r>
          </w:p>
        </w:tc>
        <w:tc>
          <w:tcPr>
            <w:tcW w:w="9921" w:type="dxa"/>
            <w:tcBorders/>
            <w:shd w:fill="FFFFFF" w:val="clear"/>
            <w:vAlign w:val="center"/>
          </w:tcPr>
          <w:p>
            <w:pPr>
              <w:pStyle w:val="TableContents"/>
              <w:bidi w:val="0"/>
              <w:spacing w:before="0" w:after="283"/>
              <w:jc w:val="both"/>
              <w:rPr/>
            </w:pPr>
            <w:r>
              <w:rPr/>
              <w:t>changes in the market’s expectations about the Company’s operating results;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60"/>
        <w:gridCol w:w="717"/>
        <w:gridCol w:w="9328"/>
      </w:tblGrid>
      <w:tr>
        <w:trPr/>
        <w:tc>
          <w:tcPr>
            <w:tcW w:w="160" w:type="dxa"/>
            <w:tcBorders/>
            <w:shd w:fill="FFFFFF" w:val="clear"/>
            <w:vAlign w:val="center"/>
          </w:tcPr>
          <w:p>
            <w:pPr>
              <w:pStyle w:val="TableContents"/>
              <w:bidi w:val="0"/>
              <w:spacing w:before="0" w:after="283"/>
              <w:jc w:val="left"/>
              <w:rPr>
                <w:sz w:val="4"/>
                <w:szCs w:val="4"/>
              </w:rPr>
            </w:pPr>
            <w:r>
              <w:rPr>
                <w:sz w:val="4"/>
                <w:szCs w:val="4"/>
              </w:rPr>
            </w:r>
          </w:p>
        </w:tc>
        <w:tc>
          <w:tcPr>
            <w:tcW w:w="717" w:type="dxa"/>
            <w:tcBorders/>
            <w:shd w:fill="FFFFFF" w:val="clear"/>
            <w:vAlign w:val="center"/>
          </w:tcPr>
          <w:p>
            <w:pPr>
              <w:pStyle w:val="TableContents"/>
              <w:bidi w:val="0"/>
              <w:spacing w:before="0" w:after="283"/>
              <w:jc w:val="left"/>
              <w:rPr/>
            </w:pPr>
            <w:r>
              <w:rPr/>
              <w:t>●</w:t>
            </w:r>
          </w:p>
        </w:tc>
        <w:tc>
          <w:tcPr>
            <w:tcW w:w="9328" w:type="dxa"/>
            <w:tcBorders/>
            <w:shd w:fill="FFFFFF" w:val="clear"/>
            <w:vAlign w:val="center"/>
          </w:tcPr>
          <w:p>
            <w:pPr>
              <w:pStyle w:val="TableContents"/>
              <w:bidi w:val="0"/>
              <w:spacing w:before="0" w:after="283"/>
              <w:jc w:val="both"/>
              <w:rPr/>
            </w:pPr>
            <w:r>
              <w:rPr/>
              <w:t>success of competitors;</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8"/>
        <w:gridCol w:w="174"/>
        <w:gridCol w:w="9993"/>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pPr>
            <w:r>
              <w:rPr/>
              <w:t>●</w:t>
            </w:r>
          </w:p>
        </w:tc>
        <w:tc>
          <w:tcPr>
            <w:tcW w:w="9993" w:type="dxa"/>
            <w:tcBorders/>
            <w:shd w:fill="FFFFFF" w:val="clear"/>
            <w:vAlign w:val="center"/>
          </w:tcPr>
          <w:p>
            <w:pPr>
              <w:pStyle w:val="TableContents"/>
              <w:bidi w:val="0"/>
              <w:spacing w:before="0" w:after="283"/>
              <w:jc w:val="both"/>
              <w:rPr/>
            </w:pPr>
            <w:r>
              <w:rPr/>
              <w:t>operating results failing to meet the expectations of securities analysts or investors in a particular period;</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changes in financial estimates and recommendations by securities analysts concerning the Company or the industry in which the Company operates in general;</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operating and stock price performance of other companies that investors deem comparable to the Company;</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2"/>
        <w:gridCol w:w="235"/>
        <w:gridCol w:w="9918"/>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pPr>
            <w:r>
              <w:rPr/>
              <w:t>●</w:t>
            </w:r>
          </w:p>
        </w:tc>
        <w:tc>
          <w:tcPr>
            <w:tcW w:w="9918" w:type="dxa"/>
            <w:tcBorders/>
            <w:shd w:fill="FFFFFF" w:val="clear"/>
            <w:vAlign w:val="center"/>
          </w:tcPr>
          <w:p>
            <w:pPr>
              <w:pStyle w:val="TableContents"/>
              <w:bidi w:val="0"/>
              <w:spacing w:before="0" w:after="283"/>
              <w:jc w:val="both"/>
              <w:rPr/>
            </w:pPr>
            <w:r>
              <w:rPr/>
              <w:t>ability to market new and enhanced products and services on a timely basis;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1"/>
        <w:gridCol w:w="320"/>
        <w:gridCol w:w="9814"/>
      </w:tblGrid>
      <w:tr>
        <w:trPr/>
        <w:tc>
          <w:tcPr>
            <w:tcW w:w="71"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pPr>
            <w:r>
              <w:rPr/>
              <w:t>●</w:t>
            </w:r>
          </w:p>
        </w:tc>
        <w:tc>
          <w:tcPr>
            <w:tcW w:w="9814" w:type="dxa"/>
            <w:tcBorders/>
            <w:shd w:fill="FFFFFF" w:val="clear"/>
            <w:vAlign w:val="center"/>
          </w:tcPr>
          <w:p>
            <w:pPr>
              <w:pStyle w:val="TableContents"/>
              <w:bidi w:val="0"/>
              <w:spacing w:before="0" w:after="283"/>
              <w:jc w:val="both"/>
              <w:rPr/>
            </w:pPr>
            <w:r>
              <w:rPr/>
              <w:t>changes in laws and regulations affecting our business;</w:t>
            </w:r>
          </w:p>
        </w:tc>
      </w:tr>
    </w:tbl>
    <w:p>
      <w:pPr>
        <w:pStyle w:val="TextBody"/>
        <w:shd w:fill="FFFFFF" w:val="clear"/>
        <w:bidi w:val="0"/>
        <w:spacing w:before="0" w:after="0"/>
        <w:ind w:left="36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4"/>
        <w:gridCol w:w="246"/>
        <w:gridCol w:w="9905"/>
      </w:tblGrid>
      <w:tr>
        <w:trPr/>
        <w:tc>
          <w:tcPr>
            <w:tcW w:w="54"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w:t>
            </w:r>
          </w:p>
        </w:tc>
        <w:tc>
          <w:tcPr>
            <w:tcW w:w="9905" w:type="dxa"/>
            <w:tcBorders/>
            <w:shd w:fill="FFFFFF" w:val="clear"/>
            <w:vAlign w:val="center"/>
          </w:tcPr>
          <w:p>
            <w:pPr>
              <w:pStyle w:val="TableContents"/>
              <w:bidi w:val="0"/>
              <w:spacing w:before="0" w:after="283"/>
              <w:jc w:val="both"/>
              <w:rPr/>
            </w:pPr>
            <w:r>
              <w:rPr/>
              <w:t>commencement of, or involvement in, litigation involving the Company;</w:t>
            </w:r>
          </w:p>
        </w:tc>
      </w:tr>
    </w:tbl>
    <w:p>
      <w:pPr>
        <w:pStyle w:val="TextBody"/>
        <w:shd w:fill="FFFFFF" w:val="clear"/>
        <w:bidi w:val="0"/>
        <w:spacing w:before="0" w:after="0"/>
        <w:ind w:left="36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changes in the Company’s capital structure, such as future issuances of securities or the incurrence of additional debt;</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9"/>
        <w:gridCol w:w="224"/>
        <w:gridCol w:w="9932"/>
      </w:tblGrid>
      <w:tr>
        <w:trPr/>
        <w:tc>
          <w:tcPr>
            <w:tcW w:w="49" w:type="dxa"/>
            <w:tcBorders/>
            <w:shd w:fill="FFFFFF" w:val="clear"/>
            <w:vAlign w:val="center"/>
          </w:tcPr>
          <w:p>
            <w:pPr>
              <w:pStyle w:val="TableContents"/>
              <w:bidi w:val="0"/>
              <w:spacing w:before="0" w:after="283"/>
              <w:jc w:val="left"/>
              <w:rPr>
                <w:sz w:val="4"/>
                <w:szCs w:val="4"/>
              </w:rPr>
            </w:pPr>
            <w:r>
              <w:rPr>
                <w:sz w:val="4"/>
                <w:szCs w:val="4"/>
              </w:rPr>
            </w:r>
          </w:p>
        </w:tc>
        <w:tc>
          <w:tcPr>
            <w:tcW w:w="224" w:type="dxa"/>
            <w:tcBorders/>
            <w:shd w:fill="FFFFFF" w:val="clear"/>
            <w:vAlign w:val="center"/>
          </w:tcPr>
          <w:p>
            <w:pPr>
              <w:pStyle w:val="TableContents"/>
              <w:bidi w:val="0"/>
              <w:spacing w:before="0" w:after="283"/>
              <w:jc w:val="left"/>
              <w:rPr/>
            </w:pPr>
            <w:r>
              <w:rPr/>
              <w:t>●</w:t>
            </w:r>
          </w:p>
        </w:tc>
        <w:tc>
          <w:tcPr>
            <w:tcW w:w="9932" w:type="dxa"/>
            <w:tcBorders/>
            <w:shd w:fill="FFFFFF" w:val="clear"/>
            <w:vAlign w:val="center"/>
          </w:tcPr>
          <w:p>
            <w:pPr>
              <w:pStyle w:val="TableContents"/>
              <w:bidi w:val="0"/>
              <w:spacing w:before="0" w:after="283"/>
              <w:jc w:val="both"/>
              <w:rPr/>
            </w:pPr>
            <w:r>
              <w:rPr/>
              <w:t>the volume of shares of the Company’s common stock available for public sale;</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6"/>
        <w:gridCol w:w="297"/>
        <w:gridCol w:w="9842"/>
      </w:tblGrid>
      <w:tr>
        <w:trPr/>
        <w:tc>
          <w:tcPr>
            <w:tcW w:w="66" w:type="dxa"/>
            <w:tcBorders/>
            <w:shd w:fill="FFFFFF" w:val="clear"/>
            <w:vAlign w:val="center"/>
          </w:tcPr>
          <w:p>
            <w:pPr>
              <w:pStyle w:val="TableContents"/>
              <w:bidi w:val="0"/>
              <w:spacing w:before="0" w:after="283"/>
              <w:jc w:val="left"/>
              <w:rPr>
                <w:sz w:val="4"/>
                <w:szCs w:val="4"/>
              </w:rPr>
            </w:pPr>
            <w:r>
              <w:rPr>
                <w:sz w:val="4"/>
                <w:szCs w:val="4"/>
              </w:rPr>
            </w:r>
          </w:p>
        </w:tc>
        <w:tc>
          <w:tcPr>
            <w:tcW w:w="297" w:type="dxa"/>
            <w:tcBorders/>
            <w:shd w:fill="FFFFFF" w:val="clear"/>
            <w:vAlign w:val="center"/>
          </w:tcPr>
          <w:p>
            <w:pPr>
              <w:pStyle w:val="TableContents"/>
              <w:bidi w:val="0"/>
              <w:spacing w:before="0" w:after="283"/>
              <w:jc w:val="left"/>
              <w:rPr/>
            </w:pPr>
            <w:r>
              <w:rPr/>
              <w:t>●</w:t>
            </w:r>
          </w:p>
        </w:tc>
        <w:tc>
          <w:tcPr>
            <w:tcW w:w="9842" w:type="dxa"/>
            <w:tcBorders/>
            <w:shd w:fill="FFFFFF" w:val="clear"/>
            <w:vAlign w:val="center"/>
          </w:tcPr>
          <w:p>
            <w:pPr>
              <w:pStyle w:val="TableContents"/>
              <w:bidi w:val="0"/>
              <w:spacing w:before="0" w:after="283"/>
              <w:jc w:val="both"/>
              <w:rPr/>
            </w:pPr>
            <w:r>
              <w:rPr/>
              <w:t>any major change in the Company’s board or management;</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sales of substantial amounts of the Company’s common stock by our directors, executive officers or significant stockholders or the perception that such sales could occur; and</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general economic and political conditions, such as recessions, changes in interest rates, changes in fuel prices, international currency fluctuations, an escalation of sanctions, tariffs, or other trade tensions between the U.S. and other countries and acts of war or terrorism.</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 loss of investor confidence in the market for the stocks of other companies which investors perceive to be similar to the Company could depress our stock price regardless of our business, prospects, financial conditions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market price of our common stock will not decline. Accordingly, we cannot assure you that you will be able to sell your common stock at a price equal to or greater than the purchase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common stock or other securities, including securities that are exercisable for or convertible into common stock. In addition, this offering and future equity offerings and other issuances of our common stock or other securities, or the perception of such offerings, may adversely affect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into common stock in future transactions may be higher or lower than the price per share in this offering. You will incur dilution upon exercise of any outstanding stock options or upon the issuance of shares of common stock under our stock incentive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future dividends on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cash dividends on our common stock and currently do not anticipate paying future cash dividends on our common stock. Any determination to pay future dividends and other distributions in cash, stock, or property by us in the future will be at the discretion of our Board of Directors (the “Board”) and will be dependent on then-existing conditions, including our financial condition and results of operations and contractual restrictions. We are also limited in our ability to pay dividends or make other distributions to our shareholders without the consent of our lender. Therefore, stockholders should not rely on future dividend income from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book value per share of the common stock you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price per share of our common stock being offered is substantially higher than the as adjusted net tangible book value per share of our common stock, you may suffer immediate and substantial dilution with respect to the net tangible book value of the common stock you purchase in this offering. After giving effect to (i) (x) the sale of the Assigned Patents pursuant to the Patent Purchase Agreement and (y) the repayment in full of the Convertible Note and (ii) the sale of 5,000,000 shares of common stock at an offering price of $3.00 per share, and after deducting placement agent fees and estimated offering expenses payable by us, our pro forma as adjusted net tangible book value as of September 30, 2025 would have been approximately $22,766,000, or $0.31 per share. This represents an immediate increase in net tangible book value of $0.18 per share to our existing stockholders and an immediate dilution in net tangible book value of $2.69 per share to new investors in this offering. See “Dilution” for a more detailed discussion of the dilution you may incur in connection with this offering. To the extent outstanding options are exercised, you would incur further dilution.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b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of approximately $14.0 million from the sale of the shares of common stock offered by us in this offering, after deducting placement agent fees and estimated offering expenses payable by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broad discretion over the uses of the net proceeds in this offering. We intend to use the net proceeds from this offering for general corporate and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b_007"/>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dividends on our capital stock to date. We anticipate that we will retain all of our future earnings, if any, for use in the operation and expansion of our business and do not anticipate paying cash dividends in the foreseeable future. Any future determination related to our dividend policy will be made at the discretion of our Board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b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this offering, your ownership interest will be diluted to the extent of the difference between the price per share you pay in this offering and the pro forma as adjusted net tangible book value per share of our common stock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a net tangible book value (deficit) of approximately $(1,873,000), or approximately $(0.03) per share of common stock, based upon 69,434,400 shares outstanding. Our net tangible book value per share represents total tangible assets less total liabilities, divided by the number of shares of common stock outstanding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30, 2025, the following events have occurred: (i) the sale of the Assigned Patents pursuant to the Patent Purchase Agreement and (ii) the repayment in full of the Convertible Note. On a pro forma basis, giving effect to these events, our pro forma net tangible book value as of September 30, 2025 would have been approximately $8,741,000, or $0.13 per share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5,000,000 shares of our common stock at an offering price of $3.00 per share, and after deducting placement agent fees and estimated offering expenses payable by us, our pro forma as adjusted net tangible book value as of September 30, 2025 would have been approximately $22,766,000, or $0.31 per share of common stock. This represents an immediate increase in net tangible book value of $0.18 per share to our existing stockholders and an immediate dilution in net tangible book value of $2.69 per share to new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share basis.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0"/>
        <w:gridCol w:w="60"/>
        <w:gridCol w:w="140"/>
        <w:gridCol w:w="515"/>
        <w:gridCol w:w="95"/>
        <w:gridCol w:w="60"/>
        <w:gridCol w:w="140"/>
        <w:gridCol w:w="440"/>
        <w:gridCol w:w="75"/>
      </w:tblGrid>
      <w:tr>
        <w:trPr/>
        <w:tc>
          <w:tcPr>
            <w:tcW w:w="8680" w:type="dxa"/>
            <w:tcBorders/>
            <w:shd w:fill="CCEEFF" w:val="clear"/>
            <w:vAlign w:val="center"/>
          </w:tcPr>
          <w:p>
            <w:pPr>
              <w:pStyle w:val="TableContents"/>
              <w:bidi w:val="0"/>
              <w:spacing w:before="0" w:after="283"/>
              <w:jc w:val="both"/>
              <w:rPr/>
            </w:pPr>
            <w:r>
              <w:rPr/>
              <w:t>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8680" w:type="dxa"/>
            <w:tcBorders/>
            <w:shd w:fill="FFFFFF" w:val="clear"/>
            <w:vAlign w:val="center"/>
          </w:tcPr>
          <w:p>
            <w:pPr>
              <w:pStyle w:val="TableContents"/>
              <w:bidi w:val="0"/>
              <w:spacing w:before="0" w:after="283"/>
              <w:jc w:val="both"/>
              <w:rPr/>
            </w:pPr>
            <w:r>
              <w:rPr/>
              <w:t>Net tangible book value per share as of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both"/>
              <w:rPr/>
            </w:pPr>
            <w:r>
              <w:rPr/>
              <w:t>Increase in net tangible book value per share attributable to the pro forma adjustments described above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80" w:type="dxa"/>
            <w:tcBorders/>
            <w:shd w:fill="FFFFFF" w:val="clear"/>
            <w:vAlign w:val="center"/>
          </w:tcPr>
          <w:p>
            <w:pPr>
              <w:pStyle w:val="TableContents"/>
              <w:bidi w:val="0"/>
              <w:spacing w:before="0" w:after="283"/>
              <w:jc w:val="both"/>
              <w:rPr/>
            </w:pPr>
            <w:r>
              <w:rPr/>
              <w:t>Pro forma tangible book value per share as of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680" w:type="dxa"/>
            <w:tcBorders/>
            <w:shd w:fill="CCEEFF" w:val="clear"/>
            <w:vAlign w:val="center"/>
          </w:tcPr>
          <w:p>
            <w:pPr>
              <w:pStyle w:val="TableContents"/>
              <w:bidi w:val="0"/>
              <w:spacing w:before="0" w:after="283"/>
              <w:jc w:val="both"/>
              <w:rPr/>
            </w:pPr>
            <w:r>
              <w:rPr/>
              <w:t>Increase in net tangible book value per share attributable to the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680" w:type="dxa"/>
            <w:tcBorders/>
            <w:shd w:fill="CCEEFF" w:val="clear"/>
            <w:vAlign w:val="center"/>
          </w:tcPr>
          <w:p>
            <w:pPr>
              <w:pStyle w:val="TableContents"/>
              <w:bidi w:val="0"/>
              <w:spacing w:before="0" w:after="283"/>
              <w:jc w:val="both"/>
              <w:rPr/>
            </w:pPr>
            <w:r>
              <w:rPr/>
              <w:t>Pro forma as adjusted net tangible book value per share after giving effect to the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0.31</w:t>
            </w:r>
          </w:p>
        </w:tc>
        <w:tc>
          <w:tcPr>
            <w:tcW w:w="75" w:type="dxa"/>
            <w:tcBorders/>
            <w:shd w:fill="CCEEFF" w:val="clear"/>
            <w:vAlign w:val="center"/>
          </w:tcPr>
          <w:p>
            <w:pPr>
              <w:pStyle w:val="TableContents"/>
              <w:bidi w:val="0"/>
              <w:spacing w:before="0" w:after="283"/>
              <w:jc w:val="left"/>
              <w:rPr/>
            </w:pPr>
            <w:r>
              <w:rPr/>
              <w:t> </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680" w:type="dxa"/>
            <w:tcBorders/>
            <w:shd w:fill="CCEEFF" w:val="clear"/>
            <w:vAlign w:val="center"/>
          </w:tcPr>
          <w:p>
            <w:pPr>
              <w:pStyle w:val="TableContents"/>
              <w:bidi w:val="0"/>
              <w:spacing w:before="0" w:after="283"/>
              <w:jc w:val="both"/>
              <w:rPr/>
            </w:pPr>
            <w:r>
              <w:rPr/>
              <w:t>Dilution per share to new investors participating in the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2.69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69,434,400 shares of our common stock legally outstanding as of September 30, 2025, and excludes:</w:t>
      </w:r>
    </w:p>
    <w:p>
      <w:pPr>
        <w:pStyle w:val="TextBody"/>
        <w:bidi w:val="0"/>
        <w:spacing w:before="0" w:after="0"/>
        <w:ind w:left="0" w:right="0" w:firstLine="4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4,771,142 shares of our common stock issuable upon the exercise of stock options outstanding as of September 30, 2025, having a weighted average exercise price of $1.57 per share;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3,566,373 shares of common stock issuable upon the vesting of restricted stock units outstanding as of September 30, 2025;</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1,760,048 shares of common stock issuable upon the vesting of performance stock units outstanding as of September 30,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 aggregate of 1,602,413 shares of common stock reserved for future issuance under our equity incentive plan as of September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these options are exercised, restricted stock units are settled, new options or restricted stock units are issued under our equity incentive plans and subsequently exercised or settled or we issue additional shares of common stock or securities that are convertible into or exchangeable for, or that represent the right to receive, common stock or substantially similar securities in the future, there will be further dilution to investors participating in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b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Craig-Hallum Capital Group LLC (the “placement agent”) to act as our exclusive placement agent, on a reasonable best-efforts basis, in connection with this offering pursuant to this prospectus supplement and accompanying prospectus. The terms of this offering are subject to market conditions and negotiations between us, the placement agent, and prospective investors. Our engagement letter with the placement agent does not give rise to any commitment by the placement agent to purchase any of the securities, and the placement agent will have no authority to bind us by virtue of the engagement letter. The placement agent is not purchasing the securities offered by us in this offering and is not required to sell any specific number or dollar amount of securities but will assist us in this offering on a reasonable best-efforts basis. Further, the placement agent does not guarantee that it will be able to raise new capital in any prospective offering. The placement agent may engage sub-agents or selected dealers to assist with the offering. We have entered into a securities purchase agreement directly with the investors in connection with this offering, and we will only sell to investors who have entered into the securities purchase agreement. We may not sell the entire amount of shares of our common stock offered pursuant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the shares of our common stock being offered pursuant to this prospectus supplement on or about February 26, 2026, subject to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 share and total cash fees we will pay to the placement agent in connection with the sale of our securities offered pursuant to this prospectus supplement and the accompanying prospectus, assuming the purchase of all of the shares offered hereby.</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035"/>
        <w:gridCol w:w="60"/>
        <w:gridCol w:w="172"/>
        <w:gridCol w:w="688"/>
        <w:gridCol w:w="60"/>
        <w:gridCol w:w="60"/>
        <w:gridCol w:w="140"/>
        <w:gridCol w:w="1100"/>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 </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Offering price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15,000,000</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Placement agent fee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688" w:type="dxa"/>
            <w:tcBorders/>
            <w:shd w:fill="FFFFFF" w:val="clear"/>
            <w:vAlign w:val="center"/>
          </w:tcPr>
          <w:p>
            <w:pPr>
              <w:pStyle w:val="TableContents"/>
              <w:bidi w:val="0"/>
              <w:spacing w:before="0" w:after="283"/>
              <w:jc w:val="right"/>
              <w:rPr/>
            </w:pPr>
            <w:r>
              <w:rPr/>
              <w:t>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675,000</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14,325,000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in connection with this offering a cash fee equal to 4.5% of the aggregate gross proceeds of this offering and to reimburse the expenses of the placement agent up to $75,000.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payable by us in connection with this offering, excluding the placement agent fees and expenses referred to above, will be approximately $225,000.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officers and directors, have agreed to be subject to a lock-up for a period of 30 days following the date of closing of the offering pursuant to this prospectus supplement and accompanying prospectus. This means that, during the applicable lock-up period, we may not issue, enter into any agreement to issue or announce the issuance or proposed issuance of any shares of common stock or their equivalents, and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in each case subject to certain exceptions. In addition, we have agreed to not issue any securities that are subject to a price reset based on the trading prices of our common stock or upon a specified or contingent event in the future, or enter into any agreement to issue securities at a future determined price for a period of six (6) months following the closing date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Securities Exchange Act of 1934, as amended, or Exchange Act, including, without limitation, Rule 415(a)(4) under the Securities Act, Rule 10b-5 and Regulation M under the Exchange Act. These rules and regulations may limit the timing of purchases and sales of common stock by the placement agent acting as principal. Under these rules and regulations, the placement agent: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engage in any stabilization activity in connection with our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bid for or purchase any of our securities, or attempt to induce any person to purchase any of our securities, other than as permitted under the Exchange Act, until it has completed its participation in the distribution in the securities offered by this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“TYGO.”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placement agent has provided and may provide in the future, various advisory, investment and commercial banking and other services to us in the ordinary course of business, for which it may receive customary fees and commissions. However, except as disclosed in this prospectus supplement, we have no present arrangements with the placement agent for any further services. The placement agent is our sales agent in connection with our “at-the-market” offering that we commenced in November 2024, and received compensation in connection with such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b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to be offered by this prospectus supplement will be passed upon for us by White &amp; Case LLP, 609 Main Street, Houston, Texas 77002. Craig-Hallum is being represented in connection with this offering by Ellenoff Grossman &amp; Schole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b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Tigo Energy, Inc. and subsidiaries as of and for the year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b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on Form S-3 under the Securities Act with respect to the securities offered by this prospectus supplement. This prospectus supplement and the accompanying prospectus, which are part of the registration statement, omits certain information, exhibits, schedules and undertakings set forth in the registration statement, as permitted by the SEC. For further information pertaining to us and the securities offered in this prospectus supplement, reference is made to that registration statement and the exhibits and schedules to the registration statement. Statements contained in this prospectus supplement and the accompanying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at www.sec.gov that contains reports, proxy and information statements and other information regarding issuers that file electronically with the SEC, including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“TYGO.” General information about our company, including our Annual Report on Form 10-K, Quarterly Reports on Form 10-Q and Current Reports on Form 8-K, as well as any amendments and exhibits to those reports, are available free of charge through our website at https://www.tigoenergy.com/ as soon as reasonably practicable after we file them with, or furnish them to, the SEC. We have included our website address in this prospectus supplement solely as an inactive textual reference. Information on, or than can be accessed through, our website is not incorporated into this prospectus supplement or other securities filings and is not a part of these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b_013"/>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the information we file with it, which means that we can disclose important information to you by referring you to those documents. The information we incorporate by reference is an important part of this prospectus supplement, and later information that we file with the SEC will automatically update and supersede some of this information. We incorporate by reference the documents listed below and any future filings we make with the SEC under Section 13(a), 13(c), 14 or 15(d) of the Exchange Act, including filings made after the date of the initial registration statement, until we sell all of the shares covered by this prospectus supplement or the sale of shares by us pursuant to this prospectus supplement is terminated. In no event, however, will any of the information that we furnish to, pursuant to Item 2.02 or Item 7.01 of any Current Report on Form 8-K (including exhibits related thereto) or other applicable SEC rules, rather than file with, the SEC be incorporated by reference or otherwise be included herein, unless such information is expressly incorporated herein by a reference in such furnished Current Report on Form 8-K or other furnished document. The documents we incorporate by reference are: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year ended December 31, 2024, filed with the SEC on March 20, 2025;</w:t>
            </w:r>
          </w:p>
        </w:tc>
      </w:tr>
    </w:tbl>
    <w:p>
      <w:pPr>
        <w:pStyle w:val="TextBody"/>
        <w:bidi w:val="0"/>
        <w:spacing w:before="0" w:after="0"/>
        <w:ind w:left="0" w:right="0" w:firstLine="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information specifically incorporated by reference into our Annual Report on </w:t>
            </w:r>
            <w:hyperlink r:id="rId4">
              <w:r>
                <w:rPr>
                  <w:rStyle w:val="InternetLink"/>
                </w:rPr>
                <w:t>Form 10-K</w:t>
              </w:r>
            </w:hyperlink>
            <w:r>
              <w:rPr/>
              <w:t xml:space="preserve"> for the year ended December 31, 2024, from our Definitive Proxy Statement on </w:t>
            </w:r>
            <w:hyperlink r:id="rId5">
              <w:r>
                <w:rPr>
                  <w:rStyle w:val="InternetLink"/>
                </w:rPr>
                <w:t>Schedule 14A</w:t>
              </w:r>
            </w:hyperlink>
            <w:r>
              <w:rPr/>
              <w:t>, filed with the SEC on April 4, 2025;</w:t>
            </w:r>
          </w:p>
        </w:tc>
      </w:tr>
    </w:tbl>
    <w:p>
      <w:pPr>
        <w:pStyle w:val="TextBody"/>
        <w:bidi w:val="0"/>
        <w:spacing w:before="0" w:after="0"/>
        <w:ind w:left="0" w:right="0" w:firstLine="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Quarterly Report on </w:t>
            </w:r>
            <w:hyperlink r:id="rId6">
              <w:r>
                <w:rPr>
                  <w:rStyle w:val="InternetLink"/>
                </w:rPr>
                <w:t>Form 10-Q</w:t>
              </w:r>
            </w:hyperlink>
            <w:r>
              <w:rPr/>
              <w:t xml:space="preserve"> for the quarter ended March 31, 2025, filed with the SEC on May 6, 2025, our Quarterly Report on </w:t>
            </w:r>
            <w:hyperlink r:id="rId7">
              <w:r>
                <w:rPr>
                  <w:rStyle w:val="InternetLink"/>
                </w:rPr>
                <w:t>Form 10-Q</w:t>
              </w:r>
            </w:hyperlink>
            <w:r>
              <w:rPr/>
              <w:t xml:space="preserve"> for the quarter ended June 30, 2025, filed with the SEC on August 5, 2025 and our Quarterly Report on </w:t>
            </w:r>
            <w:hyperlink r:id="rId8">
              <w:r>
                <w:rPr>
                  <w:rStyle w:val="InternetLink"/>
                </w:rPr>
                <w:t>Form 10-Q</w:t>
              </w:r>
            </w:hyperlink>
            <w:r>
              <w:rPr/>
              <w:t xml:space="preserve"> for the quarter ended September 30, 2025, filed with the SEC on November 4, 2025;</w:t>
            </w:r>
          </w:p>
        </w:tc>
      </w:tr>
    </w:tbl>
    <w:p>
      <w:pPr>
        <w:pStyle w:val="TextBody"/>
        <w:bidi w:val="0"/>
        <w:spacing w:before="0" w:after="0"/>
        <w:ind w:left="0" w:right="0" w:firstLine="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Reports on Form 8-K, filed with the SEC on </w:t>
            </w:r>
            <w:hyperlink r:id="rId9">
              <w:r>
                <w:rPr>
                  <w:rStyle w:val="InternetLink"/>
                </w:rPr>
                <w:t>February 21, 2025</w:t>
              </w:r>
            </w:hyperlink>
            <w:r>
              <w:rPr/>
              <w:t xml:space="preserve">, </w:t>
            </w:r>
            <w:hyperlink r:id="rId10">
              <w:r>
                <w:rPr>
                  <w:rStyle w:val="InternetLink"/>
                </w:rPr>
                <w:t>April 7, 2025</w:t>
              </w:r>
            </w:hyperlink>
            <w:r>
              <w:rPr/>
              <w:t xml:space="preserve">, </w:t>
            </w:r>
            <w:hyperlink r:id="rId11">
              <w:r>
                <w:rPr>
                  <w:rStyle w:val="InternetLink"/>
                </w:rPr>
                <w:t>May 21, 2025</w:t>
              </w:r>
            </w:hyperlink>
            <w:r>
              <w:rPr/>
              <w:t xml:space="preserve">, </w:t>
            </w:r>
            <w:hyperlink r:id="rId12">
              <w:r>
                <w:rPr>
                  <w:rStyle w:val="InternetLink"/>
                </w:rPr>
                <w:t>May 30, 2025</w:t>
              </w:r>
            </w:hyperlink>
            <w:r>
              <w:rPr/>
              <w:t xml:space="preserve">, </w:t>
            </w:r>
            <w:hyperlink r:id="rId13">
              <w:r>
                <w:rPr>
                  <w:rStyle w:val="InternetLink"/>
                </w:rPr>
                <w:t>June 17, 2025</w:t>
              </w:r>
            </w:hyperlink>
            <w:r>
              <w:rPr/>
              <w:t xml:space="preserve">, </w:t>
            </w:r>
            <w:hyperlink r:id="rId14">
              <w:r>
                <w:rPr>
                  <w:rStyle w:val="InternetLink"/>
                </w:rPr>
                <w:t>August 25, 2025</w:t>
              </w:r>
            </w:hyperlink>
            <w:r>
              <w:rPr/>
              <w:t xml:space="preserve">, </w:t>
            </w:r>
            <w:hyperlink r:id="rId15">
              <w:r>
                <w:rPr>
                  <w:rStyle w:val="InternetLink"/>
                </w:rPr>
                <w:t>December 17, 2025</w:t>
              </w:r>
            </w:hyperlink>
            <w:r>
              <w:rPr/>
              <w:t xml:space="preserve">, </w:t>
            </w:r>
            <w:hyperlink r:id="rId16">
              <w:r>
                <w:rPr>
                  <w:rStyle w:val="InternetLink"/>
                </w:rPr>
                <w:t>December 17, 2025</w:t>
              </w:r>
            </w:hyperlink>
            <w:r>
              <w:rPr/>
              <w:t xml:space="preserve"> and </w:t>
            </w:r>
            <w:hyperlink r:id="rId17">
              <w:r>
                <w:rPr>
                  <w:rStyle w:val="InternetLink"/>
                </w:rPr>
                <w:t>December 19, 2025</w:t>
              </w:r>
            </w:hyperlink>
            <w:r>
              <w:rPr/>
              <w: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our capital stock contained in our Registration Statement on </w:t>
            </w:r>
            <w:hyperlink r:id="rId18">
              <w:r>
                <w:rPr>
                  <w:rStyle w:val="InternetLink"/>
                </w:rPr>
                <w:t>Form 8-A</w:t>
              </w:r>
            </w:hyperlink>
            <w:r>
              <w:rPr/>
              <w:t xml:space="preserve"> (File No. 001-40710) as originally filed with the SEC on August 4, 2021 and any amendment or report filed for the purpose of updating this information (including </w:t>
            </w:r>
            <w:hyperlink r:id="rId19">
              <w:r>
                <w:rPr>
                  <w:rStyle w:val="InternetLink"/>
                </w:rPr>
                <w:t>Exhibit 4.2</w:t>
              </w:r>
            </w:hyperlink>
            <w:r>
              <w:rPr/>
              <w:t xml:space="preserve"> to our Annual Report on </w:t>
            </w:r>
            <w:hyperlink r:id="rId20">
              <w:r>
                <w:rPr>
                  <w:rStyle w:val="InternetLink"/>
                </w:rPr>
                <w:t>Form 10-K</w:t>
              </w:r>
            </w:hyperlink>
            <w:r>
              <w:rPr/>
              <w:t xml:space="preserve"> for the fiscal year ended December 31, 2023), which description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each person to whom a prospectus is delivered a copy of all of the information that has been incorporated by reference in this prospectus but not delivered with the prospectus. You may obtain copies of these filings, at no cost, through the “Investors” section of our website (https://www.tigoenergy.com/) and you may request a copy of these filings (other than an exhibit to any filing unless we have specifically incorporated that exhibit by reference into the filing), at no cost, by writing or telephoning us at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 University Avenue, Suite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Gatos, California 95032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Bill Roeschlein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 402-0802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or that can be accessed through, our website is not incorporated into this prospectus or other securities filings and is not a part of these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b_014"/>
      <w:bookmarkEnd w:id="15"/>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715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$100,000,000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by Tigo Energy, Inc., a Delaware corporation (the “Company,” “we,” “us” or “Tigo”) from time to time in one or more offerings of up to $100,000,000 in the aggregate of the Company’s common stock, par value $ 0.0001 per share (the “Common Stock”), preferred stock, debt securities, warrants, rights or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such securities and the general manner in which we may offer or sell the securities. More specific terms of any securities that we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You should read this prospectus and any prospectus supplement or amendment carefully before you invest in our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shares of Common Stock are listed on the Nasdaq Stock Market (“Nasdaq”) under the symbol “TYGO.” On September 6, 2024, the closing sale price of shares of our Common Stock was $1.115.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September 3, 2024, the aggregate market value of our outstanding common stock held by non-affiliates was approximately $43,796,536, which was calculated based on 25,170,423 shares of outstanding common stock held by non-affiliates, at a price per share of $1.74, the closing price of our Common Stock on July 29, 2024, the highest closing price of the Company’s Common Stock on Nasdaq during the preceding 60 day trading period. Pursuant to General Instruction I.B.6 of Form S-3, in no event will we sell the securities described in this prospectus in a public primary offering with a value exceeding more than one-third (1/3) of the aggregate market value of our common stock held by non-affiliates in any 12-month period, so long as the aggregate market value of our outstanding Common Stock held by non-affiliates remains below $75,000,000. During the 12 calendar months prior to and including the date of this prospectus, we have offered a total of $73,078 worth of securities pursuant to General Instruction I.B.6 of Form S-3.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2 of this prospectus and similar sections contained in the documents incorporated by reference into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17,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890"/>
        <w:gridCol w:w="60"/>
        <w:gridCol w:w="245"/>
      </w:tblGrid>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sz w:val="20"/>
                </w:rPr>
                <w:t>TRADEMARKS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iv</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v</w:t>
            </w:r>
          </w:p>
        </w:tc>
      </w:tr>
      <w:tr>
        <w:trPr/>
        <w:tc>
          <w:tcPr>
            <w:tcW w:w="6890" w:type="dxa"/>
            <w:tcBorders/>
            <w:shd w:fill="FFFFFF" w:val="clear"/>
            <w:vAlign w:val="center"/>
          </w:tcPr>
          <w:p>
            <w:pPr>
              <w:pStyle w:val="TableContents"/>
              <w:bidi w:val="0"/>
              <w:spacing w:before="0" w:after="283"/>
              <w:jc w:val="left"/>
              <w:rPr/>
            </w:pPr>
            <w:hyperlink w:anchor="a_004">
              <w:r>
                <w:rPr>
                  <w:rStyle w:val="InternetLink"/>
                  <w:sz w:val="20"/>
                </w:rPr>
                <w:t>SUMMARY OF PROSPECTUS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1</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2</w:t>
            </w:r>
          </w:p>
        </w:tc>
      </w:tr>
      <w:tr>
        <w:trPr/>
        <w:tc>
          <w:tcPr>
            <w:tcW w:w="6890" w:type="dxa"/>
            <w:tcBorders/>
            <w:shd w:fill="FFFFFF" w:val="clear"/>
            <w:vAlign w:val="center"/>
          </w:tcPr>
          <w:p>
            <w:pPr>
              <w:pStyle w:val="TableContents"/>
              <w:bidi w:val="0"/>
              <w:spacing w:before="0" w:after="283"/>
              <w:jc w:val="left"/>
              <w:rPr/>
            </w:pPr>
            <w:hyperlink w:anchor="a_006">
              <w:r>
                <w:rPr>
                  <w:rStyle w:val="InternetLink"/>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6890" w:type="dxa"/>
            <w:tcBorders/>
            <w:shd w:fill="FFFFFF" w:val="clear"/>
            <w:vAlign w:val="center"/>
          </w:tcPr>
          <w:p>
            <w:pPr>
              <w:pStyle w:val="TableContents"/>
              <w:bidi w:val="0"/>
              <w:spacing w:before="0" w:after="283"/>
              <w:jc w:val="left"/>
              <w:rPr/>
            </w:pPr>
            <w:hyperlink w:anchor="a_008">
              <w:r>
                <w:rPr>
                  <w:rStyle w:val="InternetLink"/>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5</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13</w:t>
            </w:r>
          </w:p>
        </w:tc>
      </w:tr>
      <w:tr>
        <w:trPr/>
        <w:tc>
          <w:tcPr>
            <w:tcW w:w="6890" w:type="dxa"/>
            <w:tcBorders/>
            <w:shd w:fill="FFFFFF" w:val="clear"/>
            <w:vAlign w:val="center"/>
          </w:tcPr>
          <w:p>
            <w:pPr>
              <w:pStyle w:val="TableContents"/>
              <w:bidi w:val="0"/>
              <w:spacing w:before="0" w:after="283"/>
              <w:jc w:val="left"/>
              <w:rPr/>
            </w:pPr>
            <w:hyperlink w:anchor="a_010">
              <w:r>
                <w:rPr>
                  <w:rStyle w:val="InternetLink"/>
                  <w:sz w:val="20"/>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14</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15</w:t>
            </w:r>
          </w:p>
        </w:tc>
      </w:tr>
      <w:tr>
        <w:trPr/>
        <w:tc>
          <w:tcPr>
            <w:tcW w:w="6890" w:type="dxa"/>
            <w:tcBorders/>
            <w:shd w:fill="FFFFFF" w:val="clear"/>
            <w:vAlign w:val="center"/>
          </w:tcPr>
          <w:p>
            <w:pPr>
              <w:pStyle w:val="TableContents"/>
              <w:bidi w:val="0"/>
              <w:spacing w:before="0" w:after="283"/>
              <w:jc w:val="left"/>
              <w:rPr/>
            </w:pPr>
            <w:hyperlink w:anchor="a_012">
              <w:r>
                <w:rPr>
                  <w:rStyle w:val="InternetLink"/>
                  <w:sz w:val="20"/>
                </w:rPr>
                <w:t>GLOBAL SECURITIES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16</w:t>
            </w:r>
          </w:p>
        </w:tc>
      </w:tr>
      <w:tr>
        <w:trPr/>
        <w:tc>
          <w:tcPr>
            <w:tcW w:w="6890" w:type="dxa"/>
            <w:tcBorders/>
            <w:shd w:fill="CCEEFF" w:val="clear"/>
            <w:vAlign w:val="center"/>
          </w:tcPr>
          <w:p>
            <w:pPr>
              <w:pStyle w:val="TableContents"/>
              <w:bidi w:val="0"/>
              <w:spacing w:before="0" w:after="283"/>
              <w:jc w:val="left"/>
              <w:rPr/>
            </w:pPr>
            <w:hyperlink w:anchor="a_013">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6890" w:type="dxa"/>
            <w:tcBorders/>
            <w:shd w:fill="FFFFFF" w:val="clear"/>
            <w:vAlign w:val="center"/>
          </w:tcPr>
          <w:p>
            <w:pPr>
              <w:pStyle w:val="TableContents"/>
              <w:bidi w:val="0"/>
              <w:spacing w:before="0" w:after="283"/>
              <w:jc w:val="left"/>
              <w:rPr/>
            </w:pPr>
            <w:hyperlink w:anchor="a_014">
              <w:r>
                <w:rPr>
                  <w:rStyle w:val="InternetLink"/>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20</w:t>
            </w:r>
          </w:p>
        </w:tc>
      </w:tr>
      <w:tr>
        <w:trPr/>
        <w:tc>
          <w:tcPr>
            <w:tcW w:w="6890" w:type="dxa"/>
            <w:tcBorders/>
            <w:shd w:fill="CCEEFF" w:val="clear"/>
            <w:vAlign w:val="center"/>
          </w:tcPr>
          <w:p>
            <w:pPr>
              <w:pStyle w:val="TableContents"/>
              <w:bidi w:val="0"/>
              <w:spacing w:before="0" w:after="283"/>
              <w:jc w:val="left"/>
              <w:rPr/>
            </w:pPr>
            <w:hyperlink w:anchor="a_015">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6890" w:type="dxa"/>
            <w:tcBorders/>
            <w:shd w:fill="FFFFFF" w:val="clear"/>
            <w:vAlign w:val="center"/>
          </w:tcPr>
          <w:p>
            <w:pPr>
              <w:pStyle w:val="TableContents"/>
              <w:bidi w:val="0"/>
              <w:spacing w:before="0" w:after="283"/>
              <w:jc w:val="left"/>
              <w:rPr/>
            </w:pPr>
            <w:hyperlink w:anchor="a_016">
              <w:r>
                <w:rPr>
                  <w:rStyle w:val="InternetLink"/>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sz w:val="20"/>
              </w:rPr>
            </w:pPr>
            <w:r>
              <w:rPr>
                <w:sz w:val="20"/>
              </w:rPr>
              <w:t>20</w:t>
            </w:r>
          </w:p>
        </w:tc>
      </w:tr>
      <w:tr>
        <w:trPr/>
        <w:tc>
          <w:tcPr>
            <w:tcW w:w="6890" w:type="dxa"/>
            <w:tcBorders/>
            <w:shd w:fill="CCEEFF" w:val="clear"/>
            <w:vAlign w:val="center"/>
          </w:tcPr>
          <w:p>
            <w:pPr>
              <w:pStyle w:val="TableContents"/>
              <w:bidi w:val="0"/>
              <w:spacing w:before="0" w:after="283"/>
              <w:jc w:val="left"/>
              <w:rPr/>
            </w:pPr>
            <w:hyperlink w:anchor="a_017">
              <w:r>
                <w:rPr>
                  <w:rStyle w:val="InternetLink"/>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sz w:val="20"/>
              </w:rPr>
            </w:pPr>
            <w:r>
              <w:rPr>
                <w:sz w:val="20"/>
              </w:rPr>
              <w:t>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a registration statement on Form S-3 that we filed with the Securities and Exchange Commission (the “SEC”) using a “shelf” registration process.  </w:t>
      </w:r>
      <w:r>
        <w:rPr>
          <w:rFonts w:ascii="Times New Roman;Times;Serif" w:hAnsi="Times New Roman;Times;Serif"/>
          <w:b w:val="false"/>
          <w:i w:val="false"/>
          <w:caps w:val="false"/>
          <w:smallCaps w:val="false"/>
          <w:sz w:val="20"/>
          <w:shd w:fill="FFFFFF" w:val="clear"/>
        </w:rPr>
        <w:t xml:space="preserve">By using a shelf registration statement, we may sell securities from time to time and in one or more offerings up to a total dollar amount of $100,000,000 as described in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w:t>
      </w:r>
      <w:r>
        <w:rPr>
          <w:rFonts w:ascii="Times New Roman;Times;Serif" w:hAnsi="Times New Roman;Times;Serif"/>
          <w:b w:val="false"/>
          <w:i w:val="false"/>
          <w:caps w:val="false"/>
          <w:smallCaps w:val="false"/>
          <w:sz w:val="20"/>
        </w:rPr>
        <w:t xml:space="preserve">Any statement contained in this prospectus will be deemed to be modified or superseded for purposes of this prospectus to the extent that a statement contained in such prospectus supplement or free writing prospectus modifies or supersedes such statement. Any statement so modified will be deemed to constitute a part of this prospectus only as so modified, and any statement so superseded will be deemed not to constitute a part of this prospectus. </w:t>
      </w:r>
      <w:r>
        <w:rPr>
          <w:rFonts w:ascii="Times New Roman;Times;Serif" w:hAnsi="Times New Roman;Times;Serif"/>
          <w:b w:val="false"/>
          <w:i w:val="false"/>
          <w:caps w:val="false"/>
          <w:smallCaps w:val="false"/>
          <w:sz w:val="20"/>
          <w:shd w:fill="FFFFFF" w:val="clear"/>
        </w:rPr>
        <w:t xml:space="preserve">If there is any inconsistency between the information in this prospectus and the applicable prospectus supplement or free writing prospectus, you should rely on the prospectus supplement or free writing prospectus, as applicable. </w:t>
      </w:r>
      <w:r>
        <w:rPr>
          <w:rFonts w:ascii="Times New Roman;Times;Serif" w:hAnsi="Times New Roman;Times;Serif"/>
          <w:b w:val="false"/>
          <w:i w:val="false"/>
          <w:caps w:val="false"/>
          <w:smallCaps w:val="false"/>
          <w:sz w:val="20"/>
        </w:rPr>
        <w:t>You should rely only on the information contained in this prospectus, any applicable prospectus supplement or any related free writing prospectus.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any information or to make any representations other than those contained in this prospectus, any accompanying prospectus supplement or any free writing prospectus we have prepared.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w:t>
      </w:r>
      <w:r>
        <w:rPr>
          <w:rFonts w:ascii="Times New Roman;Times;Serif" w:hAnsi="Times New Roman;Times;Serif"/>
          <w:b w:val="false"/>
          <w:i w:val="false"/>
          <w:caps w:val="false"/>
          <w:smallCaps w:val="false"/>
          <w:sz w:val="20"/>
        </w:rPr>
        <w:t>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or the context otherwise requires, references to “we,” “us,” “our,” the “Company,” “Registrant,” and “Tigo” refer to the consolidated operations of Tigo Energy, Inc. (formerly known as Roth CH Acquisition IV Co.) and its subsidiaries. References to “ROCG” refer to the Company prior to the consummation of the Business Combination (as defined below) and references to “Legacy Tigo” refer to Tigo Energy, Inc. prior to the consummation of the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ROCG was originally formed as a Delaware corporation in February of 2019 for the purpose of effecting a merger, share exchange, asset acquisition, share purchase, recapitalization, reorganization, or other similar business combination with one or more businesses. On August 10, 2021, ROCG consummated its initial public offering, following which its securities began trading on the Nasdaq Capital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2022,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TRADEMARKS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subsidiaries own or have rights to trademarks, trade names and service marks that they use in connection with the operation of their business. In addition, their names, logos and website names and addresses are their trademarks or service marks. Other trademarks, trade names and service marks appearing in this prospectus, are the property of their respective owners. Solely for convenience, in some cases, the trademarks, trade names and service marks referred to in this prospectus are listed without the applicable </w:t>
      </w:r>
      <w:r>
        <w:rPr>
          <w:rFonts w:ascii="Times New Roman;Times;Serif" w:hAnsi="Times New Roman;Times;Serif"/>
          <w:b w:val="false"/>
          <w:i w:val="false"/>
          <w:caps w:val="false"/>
          <w:smallCaps w:val="false"/>
          <w:position w:val="7"/>
          <w:sz w:val="16"/>
          <w:sz w:val="20"/>
        </w:rPr>
        <w:t>®, M</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symbols, but their respective owners will assert, to the fullest extent under applicable law, their rights to these trademarks, trade names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herein by reference,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The forward-looking statements contained in this prospectus are only predictions based on the Company’s current expectations and projections about future events and are subject to a number of risks, uncertainties and assumptions that may cause actual results or performance to be materially different from those expressed or implied by these forward-looking statements. These risks include, but are not limited to, those described in our filings made with the SEC from time to time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prospectus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prospectus to conform these statements to actual results or to changes in expectations, except as required by law. You should read this prospectus and the documents that have been filed as exhibits hereto with the understanding that the actual future results, levels of activity, performance, events and circumstances of the Company may be materially different from what is expected.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9" w:name="a_004"/>
      <w:bookmarkEnd w:id="19"/>
      <w:r>
        <w:rPr>
          <w:rFonts w:ascii="Times New Roman;Times;Serif" w:hAnsi="Times New Roman;Times;Serif"/>
          <w:b/>
          <w:i w:val="false"/>
          <w:caps w:val="false"/>
          <w:smallCaps w:val="false"/>
          <w:sz w:val="20"/>
          <w:bdr w:val="single" w:sz="12" w:space="1" w:color="000000"/>
        </w:rPr>
        <w:t>SUMMARY OF THE PROSPECTUS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summary highlights selected information appearing elsewhere in this prospectus or the documents incorporated by reference herein. Because it is a summary, it may not contain all of the information that may be important to you in making an investment decision. Before investing in our securities, you should carefully read this entire prospectus, the registration statement of which this prospectus is a part and the documents incorporated by reference herein carefully, including the information set forth under the heading “Risk Factors” and our financial statements. See the section of this prospectus titled “Where You Can Find More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smart system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increasing the energy generation of solar energy systems.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served the solar energy industry with advanced power electronics, including the manufacturing and development of our Module Level Power Electronics (“MLPEs”), since our inception in 2007. Until 2021, we primarily focused on our MLPEs, which are devices that reside under the solar panel and improve safety features and energy production for the installer and system owner. Our MLPEs are designed to be highly flexible solutions that work with other inverters and modules, providing the installer with an open system solution and a variety of choices when designing a system for the consumer.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Systems (“GO ESS”), (formerly referred to as the Tigo EI Solution), which provides solar energy storage management capabilities, and our Energy Intelligence (“EI”) platform which provides monitoring and energy demand forecasting capabilities. We began to offer our GO ESS to residential customers in the United States (“U.S.”) and Europe in late 2021 and 2022, respectively, and added our energy demand forecasting software capabilities through our acquisition of Foresight Energy, Ltd. in the first quarter of 2023. Our products power everything from single-digit kilowatt residential systems to commercial, industrial, and utility systems, scaling to hundreds of megawatts on rooftop, ground-mounted, and floating applications.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on February 13, 2019, under the name Roth CH Acquisition IV Co., in order to effectuate a merger, capital stock exchange, asset acquisition, stock purchase, reorganization or similar business combination with one or more businesses. ROCG completed its initial public offering on August 10, 2021. On May 23, 2023, ROCG and Legacy Tigo consummated the transactions contemplated by the Merger Agreement. On the Closing Date, ROCG changed its name to Tigo Energy,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mailing address of our principal executive office is 655 Campbell Technology Parkway, Suite 150, Campbell, California 95008, and our telephone number is (408) 402-0802. Our website is https://www.tigoenergy.com/. Information contained on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DESCRIPTION OF COMMON STOCK AND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Common Stock and preferred stock is set forth in our registration statement on Form 8-A as originally filed with the SEC on August 4, 2021 and any amendment or report filed for the purpose of updating this information (including Exhibit 4.2 to our Annual Report on Form 10-K for the fiscal year ended December 31, 2023), which description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pPr>
            <w:r>
              <w:rPr/>
              <w:t>the title and ranking of the debt securities (including the terms of any subordination provisions);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price or prices (expressed as a percentage of the principal amount) at which we will sell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any limit on the aggregate principal amount of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the date or dates on which the principal of the securities of the series is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period or periods within which, the price or prices at which and the terms and conditions upon which we may redeem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denominations in which the debt securities will be issued,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will be issued in the form of certificated debt securities or global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portion of principal amount of the debt securities payable upon declaration of acceleration of the maturity date, if other than the principal 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of the currency, currencies or currency units in which payment of principal of, premium and interest on the debt securities will be made;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any provisions relating to any security provided for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addition to, deletion of or change in the covenants described in this prospectus or in the indenture with respect to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depositaries, interest rate calculation agents, exchange rate calculation agents or other agents with respect to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any of our direct or indirect subsidiaries will guarantee the debt securities of that series including the terms of subordination, if any, of such guarantees.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Global Debt Securities and Book-Entry System</w:t>
      </w:r>
      <w:r>
        <w:rPr>
          <w:rFonts w:ascii="Times New Roman;Times;Serif" w:hAnsi="Times New Roman;Times;Serif"/>
          <w:b w:val="false"/>
          <w:i w:val="false"/>
          <w:caps w:val="false"/>
          <w:smallCaps w:val="false"/>
          <w:sz w:val="20"/>
        </w:rPr>
        <w:t>.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Certificated Debt Securities</w:t>
      </w:r>
      <w:r>
        <w:rPr>
          <w:rFonts w:ascii="Times New Roman;Times;Serif" w:hAnsi="Times New Roman;Times;Serif"/>
          <w:b w:val="false"/>
          <w:i w:val="false"/>
          <w:caps w:val="false"/>
          <w:smallCaps w:val="false"/>
          <w:sz w:val="20"/>
        </w:rPr>
        <w:t>.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with or into, or convey, transfer or lease all or substantially all of our properties and assets to any person (a “successor person”)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the surviving corporation or the successor person (if other than Tigo) is a corporation, organized and validly existing under the laws of any U.S. domestic jurisdiction and expressly assumes our obligations on the debt securities and under the indenture;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immediately after giving effect to the transaction, no Default (as defined below) or Event of Default shall have occurred and be continuing.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our subsidiaries may consolidate with, merge into or transfer all or part of its properties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any series of debt securities, any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t>default in the payment of principal of any security of that series at its maturity;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Tigo and the trustee receives written notice from the holders of not less than 25% in principal amount of the outstanding debt securities of that series as provided in the indenture;</w:t>
            </w:r>
          </w:p>
        </w:tc>
      </w:tr>
    </w:tbl>
    <w:p>
      <w:pPr>
        <w:pStyle w:val="TextBody"/>
        <w:bidi w:val="0"/>
        <w:spacing w:before="0" w:after="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17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certain voluntary or involuntary events of bankruptcy, insolvency or reorganization of Tigo;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Event of Default provided with respect to debt securities of that series that is described in the applicable prospectus supplement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holder has previously given to the trustee written notice of a continuing Event of Default with respect to debt securities of that series;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amend or supplement the indenture or the debt securities of any series without the consent of any holder of any debt security:</w:t>
      </w:r>
    </w:p>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to cure any ambiguity, defect or inconsistency;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comply with covenants in the indenture described above under the heading “Consolidation, Merger and Sale of Assets”;</w:t>
            </w:r>
          </w:p>
        </w:tc>
      </w:tr>
    </w:tbl>
    <w:p>
      <w:pPr>
        <w:pStyle w:val="TextBody"/>
        <w:bidi w:val="0"/>
        <w:spacing w:before="0" w:after="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pPr>
            <w:r>
              <w:rPr/>
              <w:t>to provide for uncertificated securities in addition to or in place of certificated securities;</w:t>
            </w:r>
          </w:p>
        </w:tc>
      </w:tr>
    </w:tbl>
    <w:p>
      <w:pPr>
        <w:pStyle w:val="TextBody"/>
        <w:bidi w:val="0"/>
        <w:spacing w:before="0" w:after="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to add guarantees with respect to debt securities of any series or secure debt securities of any series;</w:t>
            </w:r>
          </w:p>
        </w:tc>
      </w:tr>
    </w:tbl>
    <w:p>
      <w:pPr>
        <w:pStyle w:val="TextBody"/>
        <w:bidi w:val="0"/>
        <w:spacing w:before="0" w:after="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to surrender any of our rights or powers under the indenture;</w:t>
            </w:r>
          </w:p>
        </w:tc>
      </w:tr>
    </w:tbl>
    <w:p>
      <w:pPr>
        <w:pStyle w:val="TextBody"/>
        <w:bidi w:val="0"/>
        <w:spacing w:before="0" w:after="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to add covenants or events of default for the benefit of the holders of debt securities of any series;</w:t>
            </w:r>
          </w:p>
        </w:tc>
      </w:tr>
    </w:tbl>
    <w:p>
      <w:pPr>
        <w:pStyle w:val="TextBody"/>
        <w:bidi w:val="0"/>
        <w:spacing w:before="0" w:after="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to comply with the applicable procedures of the applicable depositary;</w:t>
            </w:r>
          </w:p>
        </w:tc>
      </w:tr>
    </w:tbl>
    <w:p>
      <w:pPr>
        <w:pStyle w:val="TextBody"/>
        <w:bidi w:val="0"/>
        <w:spacing w:before="0" w:after="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17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to make any change that does not adversely affect the rights of any holder of debt securities;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provide for the issuance of and establish the form and terms and conditions of debt securities of any series as permitted by the indenture;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effect the appointment of a successor trustee with respect to the debt securities of any series and to add to or change any of the provisions of the indenture to provide for or facilitate administration by more than one trustee;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comply with requirements of the SEC in order to effect or maintain the qualification of the indenture under the Trust Indenture Act of 1939, as amended.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 the amount of debt securities whose holders must consent to an amendment, supplement or waiver;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 the rate of or extend the time for payment of interest (including default interest) on any debt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reduce the principal amount of discount securities payable upon acceleration of maturity;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make the principal of or premium or interest on any debt security payable in currency other than that stated in the debt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tc>
      </w:tr>
    </w:tbl>
    <w:p>
      <w:pPr>
        <w:pStyle w:val="TextBody"/>
        <w:bidi w:val="0"/>
        <w:spacing w:before="0" w:after="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waive a redemption payment with respect to any debt security.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we may be discharged 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of Certain Covenants</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upon compliance with certain conditions: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omission to comply with those covenants will not constitute a Default or an Event of Default with respect to the debt securities of that series (“covenant defeasance”).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or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offer warrants from time to time in one or more series. The following description summarizes the general terms and provisions of the warrants we may offer pursuant to this prospectus that are common to all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series of warrants in respect of which this prospectus is being delivered,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w:t>
            </w:r>
          </w:p>
        </w:tc>
        <w:tc>
          <w:tcPr>
            <w:tcW w:w="9344"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00"/>
        <w:gridCol w:w="9594"/>
      </w:tblGrid>
      <w:tr>
        <w:trPr/>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both"/>
              <w:rPr/>
            </w:pPr>
            <w:r>
              <w:rPr/>
              <w:t>the aggregate number of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pPr>
            <w:r>
              <w:rPr/>
              <w:t>the price or prices at which the warrants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pPr>
            <w:r>
              <w:rPr/>
              <w:t>the currency or currencies in which the price of the warrants may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and terms of the underlying warrant securities purchasable upon exercise of the warrants and the number of such underlying warrant securities issuable upon exercise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price at which and the currency or currencies, including composite currencies, in which the underlying warrant securities purchasable upon exercise of the warrants may be purchased;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warrants will commence and the date on which that right will expire (subject to any extension);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pPr>
            <w:r>
              <w:rPr/>
              <w:t>whether the warrants will be issued in registered form or bearer form;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minimum or maximum amount of the warrants which may be exercised at any one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designation and terms of the underlying warrant securities with which the warrants are issued and the number of the warrants issued with each underlying warrant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date on and after which the warrants and the related underlying warrant securities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a discussion of the material United States federal income tax considerations applicable to the issuance or exercise of the warrants;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rights, the rights agreement relating to the rights and the rights certificates representing rights will be described in the applicable prospectus supplement, including, as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97"/>
        <w:gridCol w:w="9231"/>
      </w:tblGrid>
      <w:tr>
        <w:trPr/>
        <w:tc>
          <w:tcPr>
            <w:tcW w:w="1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w:t>
            </w:r>
          </w:p>
        </w:tc>
        <w:tc>
          <w:tcPr>
            <w:tcW w:w="9231" w:type="dxa"/>
            <w:tcBorders/>
            <w:vAlign w:val="center"/>
          </w:tcPr>
          <w:p>
            <w:pPr>
              <w:pStyle w:val="TableContents"/>
              <w:bidi w:val="0"/>
              <w:spacing w:before="0" w:after="283"/>
              <w:jc w:val="both"/>
              <w:rPr/>
            </w:pPr>
            <w:r>
              <w:rPr/>
              <w:t>the title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both"/>
              <w:rPr/>
            </w:pPr>
            <w:r>
              <w:rPr/>
              <w:t>the date of determining the c entitled to the rights distribution;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title, aggregate number of shares of common stock or preferred stock purchasable upon exercise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95"/>
        <w:gridCol w:w="9110"/>
      </w:tblGrid>
      <w:tr>
        <w:trPr/>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pPr>
            <w:r>
              <w:rPr/>
              <w:t>the exercise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pPr>
            <w:r>
              <w:rPr/>
              <w:t>the aggregate number of rights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pPr>
            <w:r>
              <w:rPr/>
              <w:t>the date, if any, on and after which the rights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rights will commence and the date on which the right will expire;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rights, including terms, procedures and limitations relating to the distribution, exchange and exercise of the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any provisions of the governing unit agreement that differ from those described below;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is: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a limited-purpose trust company organized under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pPr>
            <w:r>
              <w:rPr/>
              <w:t>a “banking organization” within the meaning of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pPr>
            <w:r>
              <w:rPr/>
              <w:t>a member of the Federal Reserve 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a “clearing corporation” within the meaning of the New York Uniform Commercial Code;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“clearing agency” registered pursuant to the provisions of Section 17A of the Securities Exchange Act of 1934, as amended, or Exchange Act.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beneficial owners of a particular series of securities generally will not receive certificates representing their ownership interests in those securities. However, if: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determine, in our sole discretion, not to have such securities represented by one or more global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information in this section and elsewhere in this prospectus concerning DTC and DTC’s book-entry system from sources that are believed to be reliable, but we take no responsibility for the accuracy of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from time to time the offer and sale by us of up to $100,000,000 in the aggregate of the Company’s Common Stock, preferred stock, debt securities, warrants, rights or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covered by this prospectus on our behalf. All costs, expenses and fees connected with the registration of such securities will be borne by us. Any brokerage commissions and similar expenses connected with selling such securities will be borne by us according to the allocation of securities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registration statement of which this prospectus forms a part, the securities beneficially owned by us covered by this prospectus may be offered and sold from time to time by us. We may sell securities, from time to time through one or more underwriters, dealers or agents, directly to one or more purchasers or through a combination of any of these methods of sale or any other method permitted by law. We may sell securities offered by this prospectus on any stock exchange, market or trading facility on which the securities are traded or in private transactions. Subject to the limitations set forth in any applicable registration rights agreement, we may use any one or more of the following methods when selling the securities offered by this prospectus: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ordinary brokerage transactions and transactions in which the broker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an over-the-counter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settlement of short sales entered into after the date of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agreements with broker-dealers to sell a specified number of the securities at a stipulated price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sales directly to purchasers, including through a specific bidding, auction or other process or in 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through a combination of any of the above methods;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(which we refer to as the “Securities Act” in this prospectus,),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hedging transactions with broker-dealers or other financial institutions, which may in turn engage in short sales of our securities in the course of hedging the positions they assume. We may also sell the securities short and deliver these securities to close out their short positions, or loan or pledge the securities to broker-dealers that in turn may sell these shares. We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a_015"/>
      <w:bookmarkEnd w:id="30"/>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and subsidiaries as of and for the year ended December 31, 2023,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and subsidiaries as of and for the year ended December 31, 2022, have been incorporated by reference in this prospectus, have been audited by Frank, Rimerman + Co.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16"/>
      <w:bookmarkEnd w:id="3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We have also filed a registration statement on Form S-3,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w:t>
      </w:r>
      <w:r>
        <w:rPr>
          <w:rFonts w:ascii="Times New Roman;Times;Serif" w:hAnsi="Times New Roman;Times;Serif"/>
          <w:b w:val="false"/>
          <w:i/>
          <w:caps w:val="false"/>
          <w:smallCaps w:val="false"/>
          <w:sz w:val="20"/>
        </w:rPr>
        <w:t>https://www.tigoenergy.com/</w:t>
      </w:r>
      <w:r>
        <w:rPr>
          <w:rFonts w:ascii="Times New Roman;Times;Serif" w:hAnsi="Times New Roman;Times;Serif"/>
          <w:b w:val="false"/>
          <w:i w:val="false"/>
          <w:caps w:val="false"/>
          <w:smallCaps w:val="false"/>
          <w:sz w:val="20"/>
        </w:rPr>
        <w:t>. The information on our web site, however, is not, and should not be deemed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(excluding any portions of such documents that have been “furnished to” but not “filed with” the SEC for purposes of the Exchange Act):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 xml:space="preserve">our Annual Report on </w:t>
            </w:r>
            <w:hyperlink r:id="rId22">
              <w:r>
                <w:rPr>
                  <w:rStyle w:val="InternetLink"/>
                </w:rPr>
                <w:t>Form 10-K</w:t>
              </w:r>
            </w:hyperlink>
            <w:r>
              <w:rPr/>
              <w:t xml:space="preserve"> for the year ended December 31, 2023, filed with the SEC on March 21, 2024;</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 xml:space="preserve">the information specifically incorporated by reference into our Annual Report on </w:t>
            </w:r>
            <w:hyperlink r:id="rId23">
              <w:r>
                <w:rPr>
                  <w:rStyle w:val="InternetLink"/>
                </w:rPr>
                <w:t>Form 10-K</w:t>
              </w:r>
            </w:hyperlink>
            <w:r>
              <w:rPr/>
              <w:t xml:space="preserve"> for the year ended December 31, 2023, from our Definitive Proxy Statement on </w:t>
            </w:r>
            <w:hyperlink r:id="rId24">
              <w:r>
                <w:rPr>
                  <w:rStyle w:val="InternetLink"/>
                </w:rPr>
                <w:t>Schedule 14A</w:t>
              </w:r>
            </w:hyperlink>
            <w:r>
              <w:rPr/>
              <w:t xml:space="preserve">, filed with the SEC on April 5, 2024, as supplemented by our Additional Definitive Proxy Materials on </w:t>
            </w:r>
            <w:hyperlink r:id="rId25">
              <w:r>
                <w:rPr>
                  <w:rStyle w:val="InternetLink"/>
                </w:rPr>
                <w:t>Schedule 14A</w:t>
              </w:r>
            </w:hyperlink>
            <w:r>
              <w:rPr/>
              <w:t>, filed with the SEC on April 19, 2024;</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 xml:space="preserve">our Quarterly Report on </w:t>
            </w:r>
            <w:hyperlink r:id="rId26">
              <w:r>
                <w:rPr>
                  <w:rStyle w:val="InternetLink"/>
                </w:rPr>
                <w:t>Form 10-Q</w:t>
              </w:r>
            </w:hyperlink>
            <w:r>
              <w:rPr/>
              <w:t xml:space="preserve"> for the quarter ended March 31, 2024, filed with the SEC on May 14, 2024 and our Quarterly Report on </w:t>
            </w:r>
            <w:hyperlink r:id="rId27">
              <w:r>
                <w:rPr>
                  <w:rStyle w:val="InternetLink"/>
                </w:rPr>
                <w:t>Form 10-Q</w:t>
              </w:r>
            </w:hyperlink>
            <w:r>
              <w:rPr/>
              <w:t xml:space="preserve"> for the quarter ended June 30, 2024, filed with the SEC on August 6, 2024;</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 xml:space="preserve">our Current Reports on Form 8-K, filed with the SEC on </w:t>
            </w:r>
            <w:hyperlink r:id="rId28">
              <w:r>
                <w:rPr>
                  <w:rStyle w:val="InternetLink"/>
                </w:rPr>
                <w:t>February 8, 2024</w:t>
              </w:r>
            </w:hyperlink>
            <w:r>
              <w:rPr/>
              <w:t xml:space="preserve"> and </w:t>
            </w:r>
            <w:hyperlink r:id="rId29">
              <w:r>
                <w:rPr>
                  <w:rStyle w:val="InternetLink"/>
                </w:rPr>
                <w:t>May 21, 2024</w:t>
              </w:r>
            </w:hyperlink>
            <w:r>
              <w:rPr/>
              <w:t>; and</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 xml:space="preserve">the description of our capital stock contained in our Registration Statement on </w:t>
            </w:r>
            <w:hyperlink r:id="rId30">
              <w:r>
                <w:rPr>
                  <w:rStyle w:val="InternetLink"/>
                </w:rPr>
                <w:t>Form 8-A</w:t>
              </w:r>
            </w:hyperlink>
            <w:r>
              <w:rPr/>
              <w:t xml:space="preserve"> (File No. 001-40710) as originally filed with the SEC on August 4, 2021 and any amendment or report filed for the purpose of updating this information (including </w:t>
            </w:r>
            <w:hyperlink r:id="rId31">
              <w:r>
                <w:rPr>
                  <w:rStyle w:val="InternetLink"/>
                </w:rPr>
                <w:t>Exhibit 4.2</w:t>
              </w:r>
            </w:hyperlink>
            <w:r>
              <w:rPr/>
              <w:t xml:space="preserve"> to our Annual Report on </w:t>
            </w:r>
            <w:hyperlink r:id="rId32">
              <w:r>
                <w:rPr>
                  <w:rStyle w:val="InternetLink"/>
                </w:rPr>
                <w:t>Form 10-K</w:t>
              </w:r>
            </w:hyperlink>
            <w:r>
              <w:rPr/>
              <w:t xml:space="preserve"> for the fiscal year ended December 31, 2023), which description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w:t>
        <w:br/>
        <w:t>655 Campbell Technology Parkway, Suite 150</w:t>
        <w:br/>
        <w:t>Campbell, California 95008</w:t>
        <w:br/>
        <w:t>(408) 402-0802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Bill Roeschlein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7"/>
      <w:bookmarkEnd w:id="32"/>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7157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3"/>
                    <a:stretch>
                      <a:fillRect/>
                    </a:stretch>
                  </pic:blipFill>
                  <pic:spPr bwMode="auto">
                    <a:xfrm>
                      <a:off x="0" y="0"/>
                      <a:ext cx="1171575"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 Shares 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Craig-Hallum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447/000095017025042645/tygo-20241231.htm" TargetMode="External"/><Relationship Id="rId4" Type="http://schemas.openxmlformats.org/officeDocument/2006/relationships/hyperlink" Target="https://www.sec.gov/ix?doc=/Archives/edgar/data/1855447/000095017025042645/tygo-20241231.htm" TargetMode="External"/><Relationship Id="rId5" Type="http://schemas.openxmlformats.org/officeDocument/2006/relationships/hyperlink" Target="https://www.sec.gov/ix?doc=/Archives/edgar/data/1855447/000095017025051108/tygo-20250404.htm" TargetMode="External"/><Relationship Id="rId6" Type="http://schemas.openxmlformats.org/officeDocument/2006/relationships/hyperlink" Target="https://www.sec.gov/Archives/edgar/data/1855447/000095017025064433/tygo-20250331.htm" TargetMode="External"/><Relationship Id="rId7" Type="http://schemas.openxmlformats.org/officeDocument/2006/relationships/hyperlink" Target="https://www.sec.gov/Archives/edgar/data/1855447/000095017025103189/tygo-20250630.htm" TargetMode="External"/><Relationship Id="rId8" Type="http://schemas.openxmlformats.org/officeDocument/2006/relationships/hyperlink" Target="https://www.sec.gov/Archives/edgar/data/1855447/000119312525264656/tygo-20250930.htm" TargetMode="External"/><Relationship Id="rId9" Type="http://schemas.openxmlformats.org/officeDocument/2006/relationships/hyperlink" Target="https://www.sec.gov/Archives/edgar/data/1855447/000121390025015828/ea0231759-8k_tigo.htm" TargetMode="External"/><Relationship Id="rId10" Type="http://schemas.openxmlformats.org/officeDocument/2006/relationships/hyperlink" Target="https://www.sec.gov/Archives/edgar/data/1855447/000121390025029443/ea0237393-8k_tigo.htm" TargetMode="External"/><Relationship Id="rId11" Type="http://schemas.openxmlformats.org/officeDocument/2006/relationships/hyperlink" Target="https://www.sec.gov/Archives/edgar/data/1855447/000121390025046441/ea0242812-8k_tigoenergy.htm" TargetMode="External"/><Relationship Id="rId12" Type="http://schemas.openxmlformats.org/officeDocument/2006/relationships/hyperlink" Target="https://www.sec.gov/Archives/edgar/data/1855447/000121390025049161/ea0243927-8k_tigoenergy.htm" TargetMode="External"/><Relationship Id="rId13" Type="http://schemas.openxmlformats.org/officeDocument/2006/relationships/hyperlink" Target="https://www.sec.gov/Archives/edgar/data/1855447/000121390025054966/ea0245962-8k_tigoenergy.htm" TargetMode="External"/><Relationship Id="rId14" Type="http://schemas.openxmlformats.org/officeDocument/2006/relationships/hyperlink" Target="https://www.sec.gov/Archives/edgar/data/1855447/000121390025080131/ea0254123-8k_tigo.htm" TargetMode="External"/><Relationship Id="rId15" Type="http://schemas.openxmlformats.org/officeDocument/2006/relationships/hyperlink" Target="https://www.sec.gov/Archives/edgar/data/1855447/000121390025122558/ea0269993-8k_tigo.htm" TargetMode="External"/><Relationship Id="rId16" Type="http://schemas.openxmlformats.org/officeDocument/2006/relationships/hyperlink" Target="https://www.sec.gov/Archives/edgar/data/1855447/000121390025122796/ea0270001-8k_tigo.htm" TargetMode="External"/><Relationship Id="rId17" Type="http://schemas.openxmlformats.org/officeDocument/2006/relationships/hyperlink" Target="https://www.sec.gov/Archives/edgar/data/1855447/000121390025123890/ea0270394-8k_tigo.htm" TargetMode="External"/><Relationship Id="rId18" Type="http://schemas.openxmlformats.org/officeDocument/2006/relationships/hyperlink" Target="https://www.sec.gov/Archives/edgar/data/1855447/000110465921099938/tm2112097d6_8a12b.htm" TargetMode="External"/><Relationship Id="rId19" Type="http://schemas.openxmlformats.org/officeDocument/2006/relationships/hyperlink" Target="https://www.sec.gov/ix?doc=/Archives/edgar/data/1855447/000095017024034765/tygo-20231231.htm" TargetMode="External"/><Relationship Id="rId20" Type="http://schemas.openxmlformats.org/officeDocument/2006/relationships/hyperlink" Target="https://www.sec.gov/ix?doc=/Archives/edgar/data/1855447/000095017024034765/tygo-20231231.htm" TargetMode="External"/><Relationship Id="rId21" Type="http://schemas.openxmlformats.org/officeDocument/2006/relationships/image" Target="media/image2.jpeg"/><Relationship Id="rId22" Type="http://schemas.openxmlformats.org/officeDocument/2006/relationships/hyperlink" Target="http://www.sec.gov/Archives/edgar/data/1855447/000095017024034765/tygo-20231231.htm" TargetMode="External"/><Relationship Id="rId23" Type="http://schemas.openxmlformats.org/officeDocument/2006/relationships/hyperlink" Target="http://www.sec.gov/Archives/edgar/data/1855447/000095017024034765/tygo-20231231.htm" TargetMode="External"/><Relationship Id="rId24" Type="http://schemas.openxmlformats.org/officeDocument/2006/relationships/hyperlink" Target="http://www.sec.gov/Archives/edgar/data/1855447/000095017024042233/tygo_proxy_def_14a_2024.htm" TargetMode="External"/><Relationship Id="rId25" Type="http://schemas.openxmlformats.org/officeDocument/2006/relationships/hyperlink" Target="http://www.sec.gov/Archives/edgar/data/1855447/000095017024045975/tygo_defa14a_-_supplemen.htm" TargetMode="External"/><Relationship Id="rId26" Type="http://schemas.openxmlformats.org/officeDocument/2006/relationships/hyperlink" Target="http://www.sec.gov/Archives/edgar/data/1855447/000095017024059479/tygo-20240331.htm" TargetMode="External"/><Relationship Id="rId27" Type="http://schemas.openxmlformats.org/officeDocument/2006/relationships/hyperlink" Target="http://www.sec.gov/Archives/edgar/data/1855447/000095017024091765/tygo-20240630.htm" TargetMode="External"/><Relationship Id="rId28" Type="http://schemas.openxmlformats.org/officeDocument/2006/relationships/hyperlink" Target="http://www.sec.gov/ix?doc=/Archives/edgar/data/1855447/000121390024011667/ea193233-8k_tigoenergy.htm" TargetMode="External"/><Relationship Id="rId29" Type="http://schemas.openxmlformats.org/officeDocument/2006/relationships/hyperlink" Target="http://www.sec.gov/ix?doc=/Archives/edgar/data/1855447/000121390024045365/ea0206596-8k_tigo.htm" TargetMode="External"/><Relationship Id="rId30" Type="http://schemas.openxmlformats.org/officeDocument/2006/relationships/hyperlink" Target="http://www.sec.gov/Archives/edgar/data/1855447/000110465921099938/tm2112097d6_8a12b.htm" TargetMode="External"/><Relationship Id="rId31" Type="http://schemas.openxmlformats.org/officeDocument/2006/relationships/hyperlink" Target="http://www.sec.gov/Archives/edgar/data/1855447/000095017024034765/tygo-ex4_2.htm" TargetMode="External"/><Relationship Id="rId32" Type="http://schemas.openxmlformats.org/officeDocument/2006/relationships/hyperlink" Target="http://www.sec.gov/Archives/edgar/data/1855447/000095017024034765/tygo-20231231.htm" TargetMode="External"/><Relationship Id="rId33" Type="http://schemas.openxmlformats.org/officeDocument/2006/relationships/image" Target="media/image1.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22320</Words>
  <Characters>118024</Characters>
  <CharactersWithSpaces>140246</CharactersWithSpaces>
  <Paragraphs>1526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