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Date of Report (Date of earliest event reported): May 19, 2025</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TIGO ENERGY,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52"/>
        </w:trPr>
        <w:tc>
          <w:tcPr>
            <w:tcW w:w="296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001-40710</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655 Campbell Technology Parkway, Suite 150</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Campbell, California 95008</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r>
              <w:rPr>
                <w:rFonts w:ascii="Times New Roman" w:cs="Times New Roman" w:eastAsia="Times New Roman" w:hAnsi="Times New Roman"/>
                <w:sz w:val="18"/>
                <w:szCs w:val="18"/>
                <w:b w:val="1"/>
                <w:bCs w:val="1"/>
                <w:color w:val="auto"/>
                <w:w w:val="99"/>
              </w:rPr>
              <w:t>: (408) 402-0802</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TYGO</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19, 2025, Tigo Energy, Inc. (the “Company”) held its 2025 Annual Meeting of Stockholders (the “Annual Meeting”). Set forth below are the voting results of the two proposals considered and voted upon at the Annual Meeting, which were described in the Company’s definitive proxy statement on Schedule 14A filed with the Securities and Exchange Commission (the “SEC”) on April 4,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 To elect seven director nominees to hold office until the 2026 Annual Meeting of Stockholders.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152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For</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0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Zvi Alon</w:t>
            </w:r>
          </w:p>
        </w:tc>
        <w:tc>
          <w:tcPr>
            <w:tcW w:w="1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47,740,019</w:t>
            </w:r>
          </w:p>
        </w:tc>
        <w:tc>
          <w:tcPr>
            <w:tcW w:w="2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23,787</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Tomer Babai</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33,407,980</w:t>
            </w:r>
          </w:p>
        </w:tc>
        <w:tc>
          <w:tcPr>
            <w:tcW w:w="2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14,355,826</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3,475,970</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 C. Conley</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46,949,676</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814,130</w:t>
            </w:r>
          </w:p>
        </w:tc>
        <w:tc>
          <w:tcPr>
            <w:tcW w:w="3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3,475,970</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Sagit Manor</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47,708,651</w:t>
            </w:r>
          </w:p>
        </w:tc>
        <w:tc>
          <w:tcPr>
            <w:tcW w:w="2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55,155</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3,475,970</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Splinter</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46,712,699</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1,051,107</w:t>
            </w:r>
          </w:p>
        </w:tc>
        <w:tc>
          <w:tcPr>
            <w:tcW w:w="3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3,475,970</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Stanley Stern</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46,920,825</w:t>
            </w:r>
          </w:p>
        </w:tc>
        <w:tc>
          <w:tcPr>
            <w:tcW w:w="2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842,981</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3,475,970</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Wilson</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47,708,453</w:t>
            </w:r>
          </w:p>
        </w:tc>
        <w:tc>
          <w:tcPr>
            <w:tcW w:w="2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55,353</w:t>
            </w:r>
          </w:p>
        </w:tc>
        <w:tc>
          <w:tcPr>
            <w:tcW w:w="3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3,475,970</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 To ratify the appointment of Deloitte &amp; Touche LLP as the Company’s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16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51,230,030</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8,728</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jc w:val="right"/>
              <w:ind w:right="2110"/>
              <w:spacing w:after="0"/>
              <w:rPr>
                <w:sz w:val="20"/>
                <w:szCs w:val="20"/>
                <w:color w:val="auto"/>
              </w:rPr>
            </w:pPr>
            <w:r>
              <w:rPr>
                <w:rFonts w:ascii="Times New Roman" w:cs="Times New Roman" w:eastAsia="Times New Roman" w:hAnsi="Times New Roman"/>
                <w:sz w:val="18"/>
                <w:szCs w:val="18"/>
                <w:color w:val="auto"/>
              </w:rPr>
              <w:t>0</w:t>
            </w:r>
          </w:p>
        </w:tc>
      </w:tr>
      <w:tr>
        <w:trPr>
          <w:trHeight w:val="655"/>
        </w:trPr>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21, 2025</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Bill Roeschlein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2025-05-21T15:25:34Z</dcterms:created>
  <dcterms:modified xsi:type="dcterms:W3CDTF">2025-05-21T15:25:34Z</dcterms:modified>
</cp:coreProperties>
</file>