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(Name of Filing Person (Offeror))</w:t>
      </w: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Options To Purchase Common Stock, Par Value $0.0001 Per Share</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77867P104</w:t>
      </w:r>
    </w:p>
    <w:p>
      <w:pPr>
        <w:spacing w:after="0" w:line="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Bill Roeschlein</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655 Campbell Technology Parkway, Suite 150</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Campbell, CA 95008</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9"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the Filing Person)</w:t>
      </w:r>
    </w:p>
    <w:p>
      <w:pPr>
        <w:spacing w:after="0" w:line="214" w:lineRule="exact"/>
        <w:rPr>
          <w:sz w:val="24"/>
          <w:szCs w:val="24"/>
          <w:color w:val="auto"/>
        </w:rPr>
      </w:pPr>
    </w:p>
    <w:tbl>
      <w:tblPr>
        <w:tblLayout w:type="fixed"/>
        <w:tblInd w:w="180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7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Laura Katherine Mann</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Joel Rubinstein</w:t>
            </w:r>
          </w:p>
        </w:tc>
      </w:tr>
      <w:tr>
        <w:trPr>
          <w:trHeight w:val="216"/>
        </w:trPr>
        <w:tc>
          <w:tcPr>
            <w:tcW w:w="27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White &amp; Case LLP</w:t>
            </w:r>
          </w:p>
        </w:tc>
      </w:tr>
      <w:tr>
        <w:trPr>
          <w:trHeight w:val="216"/>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609 Main Street</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r>
      <w:tr>
        <w:trPr>
          <w:trHeight w:val="216"/>
        </w:trPr>
        <w:tc>
          <w:tcPr>
            <w:tcW w:w="27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7"/>
              </w:rPr>
              <w:t>New York, New York 10020</w:t>
            </w:r>
          </w:p>
        </w:tc>
      </w:tr>
      <w:tr>
        <w:trPr>
          <w:trHeight w:val="238"/>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Telephone: (713) 496-9700</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Telephone: (212) 819-8200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640" w:firstLine="8"/>
        <w:spacing w:after="0" w:line="477"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509" w:right="7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Amendment No. 1 amends and supplements the Tender Offer Statement on Schedule TO filed by Tigo Energy, Inc., a Delaware corporation (“Tigo” or the “Company”), with the Securities and Exchange Commission (the “SEC”) on November 12, 2024 (as so amended, this “Schedule TO”).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Schedule TO relates to an offer (the “Offer”) by the Company to eligible employees and directors to exchange certain outstanding options to purchase shares of our Common Stock (“Common Stock”) for new options to purchase a number of shares of our Common Stock (“Replacement Options”), upon the terms and subject to the conditions set forth in the Offer to Exchange Certain Outstanding Options to Purchase Common Stock for a Number of Replacement Options, dated November 12, 2024 (the “Offer to Exchange”), attached hereto as Exhibit (a)(1)(i) and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Eligible Options may be exchanged in the Option Exchange. For these purposes, “Eligible Options” are those options that (i) were granted under the Tigo Energy, Inc. 2023 Equity Incentive Plan (the “Equity Incentive Plan”), (ii) have an exercise price greater than $10.64 per share and (iii) are held by an employee or director of the Company or its subsidiaries as of the grant date of the Replacement Options.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eligible to participate in the Offer only if you (i) are an employee or director of the Company or any of its subsidiaries on the date the Offer commences and remain an employee or director, as applicable, through the grant date of the Replacement Options, (ii) are resident in the United States or Italy and (iii) hold at least one Eligible Option as of the Offer Expiration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 commenced on November 12, 2024 and is currently scheduled to expire at 11:59 P.M. Eastern Time on December 10, 2024 (as may be extended, the “Offer Expiration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1 is made to amend and supplement the Schedule TO and the Offer to Exchange. In connection with the filing of this Amendment No. 1, the Company sent an email to holders of Eligible Options notifying them of the filing of this Amendment No. 1, which is attached hereto as Exhibit (a)(1)(viii).</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No. 1, the information set forth in the Schedule TO and the Offer to Exchange remains unchanged and is incorporated herein by reference to the extent relevant to the items in this Amendment No. 1. Capitalized terms used but not defined herein have the meanings ascribed to them in the Schedule TO. You should read this Amendment No. 1 together with the Schedule TO and the Offer to Exchange.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Amendments to Offer to Exchange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 to Exchange and the corresponding Items of the Schedule TO into which such information is incorporated by reference are hereby amended and supplemented as follows: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Offer to Exchange – Summary Term Sheet Overview; Offer to Exchange – Summary Term Sheet and Questions and Answers; Offer to Exchange – The Offers</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described in the Offer to Exchange, the Company will distribute by email to you at your Company email (or if you are a director, at the email we have on file for you) the exact exchange ratios to be used in the Offer with respect to each of your Eligible Options in a personalized notification form. The Company has determined that such notification form will be delivered by the Company no later than 5:00 P.M. Eastern Time on the Offer Expiration Date. The Offer to Exchange previously contemplated the delivery of such notification forms no later than 8:00 P.M. Eastern Time. Therefore, the references to “(and no later than 8:00 P.M.) Eastern Time” in the Summary Term Sheet and on pages 1, 2, 4, 12, 13 and 20 of the Offer to Exchange are hereby amended to be references to “(and no later than 5:00 P.M.) Eastern Time.”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Offer to Exchange - Summary Term Sheet and Questions and Answers — 3. How many Replacement Options will I receive for the Eligible Options that I exchange?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 3 on pages 2 -3 of the Offer to Exchange is hereby amended and restated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How many Replacement Options will I receive for the Eligible Options that I exchange?</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exchange ratio applicable to each of your Eligible Options and the number of Replacement Options that may be granted in exchange for each of your Eligible Options will be set forth in a personalized notification form sent to you at your Company email address (or if you are a director, at the email address we have on file for you) after 3:00 P.M. (and no later than 5:00 P.M.) Eastern Time, on the Offer Expiration Date. The exchange ratios will be calculated on an approximate “value-for-value” basis, meaning that the exchange ratios will be determined in a manner intended to result in the grant of Replacement Options with an aggregate fair value that is approximately the same as the aggregate fair value of the Eligible Options they replace, calculated as of the Offer Expiration Date, which will be the time that we set the exchange ratios.</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value of the Eligible Options was calculated using the Black-Scholes option pricing model. The value of the Replacement Options will be calculated using the Hull-White I Lattice Model (the “Lattice Model”) as of the Replacement Option Grant Date. This valuation model calculates the theoretical present value of a stock option using variables such as stock price, exercise price, volatility, and expected exercise behavior. Because underwater stock options will be less valuable than Replacement Options, you will need to exchange more than one Eligible Option to receive one Replacement Option.</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Because options with different exercise prices and expiration dates have different Lattice Model values, different grants may have different exchange ratios. The exchange ratios will show you how many Eligible Options you need to exchange to get one Replacement Option.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exchange ratio for each Eligible Option cannot be calculated as of the date of this Offer because the ratios will be based in part on the future value of our common stock during and at the end of the Offer. The exchange ratios are structured so that in no event would the number of Replacement Options received by you exceed the number of shares underlying the Eligible Options exchanged for the Replacement Options.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After 3:00 P.M. (and no later than 5:00 P.M.) Eastern Time, on the Offer Expiration Date (as defined below), we will distribute to you at your Company email (or if you are a director, at the email we have on file for you) the exact exchange ratios to be used in the Offer with respect to each of your Eligible Options.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your total exchanged options would result in less than one Replacement Option, we will round up your Replacement Options so that you get a minimum of one Replacement Option. See Section 1 of the Offer to Exchange entitled “Eligibility; Number of Options; Offer Expiration Date” and Section 8 of the Offer to Exchange entitled “Source and Amount of Consideration; Terms of Replacement Options” below for additional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For illustrative purposes only, below is a table setting forth hypothetical exchange ratios that would be used in the Offer assuming various closing prices of shares of our Common Stock on Nasdaq for the preceding 60 days. The high and low closing sales prices of shares of our Common Stock as listed on Nasdaq during such period have ranged from $1.70 to $1.00, respectively. Because the exact exchange ratios will be based in part on the future value of our common stock during and at the end of the Offer, the exact exchange ratios may vary from the ratios presented in the table below. For example, if you hold an Eligible Option to purchase 1,000 shares at an exercise price of $10.65 per share and the closing price of our Common Stock on Nasdaq on the Offer Expiration Date is $1.12, the exchange ratio would be 28.47%, which means you would receive 0.2847 Replacement Options for every one share underlying an Eligible Option; accordingly, your 1,000 Eligible Options would be exchanged for 284 Replacement Options (i.e., 1,000 x 28.47%, rounded down to the nearest whole number.)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Hypothetical Exchange Ratios for Eligible Options</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5"/>
        </w:trPr>
        <w:tc>
          <w:tcPr>
            <w:tcW w:w="4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Exchange Ratio at a Given Closing Price</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Eligible Option Exercise Price</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$1.12</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$1.25</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$1.47</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$1.70</w:t>
            </w:r>
          </w:p>
        </w:tc>
        <w:tc>
          <w:tcPr>
            <w:tcW w:w="160" w:type="dxa"/>
            <w:vAlign w:val="bottom"/>
            <w:tcBorders>
              <w:bottom w:val="single" w:sz="8" w:color="CCEEFF"/>
            </w:tcBorders>
          </w:tcPr>
          <w:p>
            <w:pPr>
              <w:spacing w:after="0"/>
              <w:rPr>
                <w:sz w:val="20"/>
                <w:szCs w:val="20"/>
                <w:color w:val="auto"/>
              </w:rPr>
            </w:pPr>
          </w:p>
        </w:tc>
      </w:tr>
      <w:tr>
        <w:trPr>
          <w:trHeight w:val="216"/>
        </w:trPr>
        <w:tc>
          <w:tcPr>
            <w:tcW w:w="4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26.10%</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37.19%</w:t>
            </w:r>
          </w:p>
        </w:tc>
      </w:tr>
      <w:tr>
        <w:trPr>
          <w:trHeight w:val="234"/>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$11.50</w:t>
            </w:r>
          </w:p>
        </w:tc>
        <w:tc>
          <w:tcPr>
            <w:tcW w:w="10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25.19%</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27.47%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to Exchange – This Offer – 1. Eligibility; Number of Options; Offer Expiration 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in Section 1 of the Offer to Exchange entitled “Eligibility; Number of Options; Offer Expiration Date” on page 13 is hereby amended and supplemented by inserting the following between the ninth and tenth paragraphs of such section:</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For illustrative purposes only, below is a table setting forth hypothetical exchange ratios that would be used in the Offer assuming various closing prices of shares of our Common Stock on Nasdaq for the preceding 60 days. The high and low closing sales prices of shares of our Common Stock as listed on Nasdaq during such period have ranged from $1.70 to $1.00, respectively. Because the exact exchange ratios will be based in part on the future value of our common stock during and at the end of the Offer, the exact exchange ratios may vary from the ratios presented in the table below. For example, if you hold an Eligible Option to purchase 1,000 shares at an exercise price of $10.65 per share and the closing price of our Common Stock on Nasdaq on the Offer Expiration Date is $1.12, the exchange ratio would be 28.47%, which means you would receive 0.2847 Replacement Options for every one share underlying an Eligible Option; accordingly, your 1,000 Eligible Options would be exchanged for 284 Replacement Options (i.e., 1,000 x 28.47%, rounded down to the nearest whole number.)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Hypothetical Exchange Ratios for Eligible Options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4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Exchange Ratio at a Given Closing Price</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Eligible Option Exercise Price</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$1.12</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$1.25</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$1.47</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$1.70</w:t>
            </w:r>
          </w:p>
        </w:tc>
        <w:tc>
          <w:tcPr>
            <w:tcW w:w="160" w:type="dxa"/>
            <w:vAlign w:val="bottom"/>
            <w:tcBorders>
              <w:bottom w:val="single" w:sz="8" w:color="CCEEFF"/>
            </w:tcBorders>
          </w:tcPr>
          <w:p>
            <w:pPr>
              <w:spacing w:after="0"/>
              <w:rPr>
                <w:sz w:val="19"/>
                <w:szCs w:val="19"/>
                <w:color w:val="auto"/>
              </w:rPr>
            </w:pPr>
          </w:p>
        </w:tc>
      </w:tr>
      <w:tr>
        <w:trPr>
          <w:trHeight w:val="216"/>
        </w:trPr>
        <w:tc>
          <w:tcPr>
            <w:tcW w:w="4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26.10%</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37.19%</w:t>
            </w:r>
          </w:p>
        </w:tc>
      </w:tr>
      <w:tr>
        <w:trPr>
          <w:trHeight w:val="234"/>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$11.50</w:t>
            </w:r>
          </w:p>
        </w:tc>
        <w:tc>
          <w:tcPr>
            <w:tcW w:w="10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25.19%</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27.47%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35.84%</w:t>
            </w:r>
          </w:p>
        </w:tc>
      </w:tr>
      <w:tr>
        <w:trPr>
          <w:trHeight w:val="637"/>
        </w:trPr>
        <w:tc>
          <w:tcPr>
            <w:tcW w:w="4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Offer to Exchange – This Offer – 9. Information Concerning the Company – Summary Financial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sub-heading “Summary Financial Information” on page 28 of the Offer to Exchange is hereby amended and restated as follows:</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Set forth below are summary consolidated balance sheet data presented as of December 31, 2023 and 2022, and summary consolidated statement of operations and comprehensive loss data for the years ended December 31, 2023 and 2022, which should be read in conjunction with the “Management’s Discussion and Analysis of Financial Condition and Results of Operations” and the audited financial statements and the notes thereto included in our Annual Report for the year ended December 31, 2023, and summary consolidated balance sheet data as of September 30, 2024, and summary consolidated statement of operations and comprehensive (loss) income for the nine months ended September 30, 2024 and 2023, which should be read in conjunction with the “Management’s Discussion and Analysis of Financial Condition and Results of Operations” and the unaudited financial statements and the notes thereto included in our Quarterly Report on Form 10-Q for the quarter ended September 30, 2024, each of which is incorporated herein by reference in this Offer to Exchange.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income and comprehensive income data</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145,233</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93,924</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56,552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28,333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87,555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59,584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43,166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(8,275)</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(27,908)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(7,429)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(8,552)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(6,966)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(984)</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(35,944)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earnings per common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from operations per common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38,048,516</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4,940,562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60,130,249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31,070,476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43,223,134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4,940,562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60,130,249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40,487,517</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 (in thousands, except per share data)</w:t>
            </w:r>
          </w:p>
        </w:tc>
        <w:tc>
          <w:tcPr>
            <w:tcW w:w="17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85,092</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0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98,571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88,078</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10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39,588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0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65,102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56,630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10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(55,692)</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w:t>
            </w:r>
          </w:p>
        </w:tc>
        <w:tc>
          <w:tcPr>
            <w:tcW w:w="210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637"/>
        </w:trPr>
        <w:tc>
          <w:tcPr>
            <w:tcW w:w="54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22, 2024</w:t>
            </w:r>
          </w:p>
        </w:tc>
        <w:tc>
          <w:tcPr>
            <w:tcW w:w="74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TIGO ENERGY, INC.</w:t>
            </w:r>
          </w:p>
        </w:tc>
      </w:tr>
      <w:tr>
        <w:trPr>
          <w:trHeight w:val="439"/>
        </w:trPr>
        <w:tc>
          <w:tcPr>
            <w:tcW w:w="3780" w:type="dxa"/>
            <w:vAlign w:val="bottom"/>
          </w:tcPr>
          <w:p>
            <w:pPr>
              <w:spacing w:after="0"/>
              <w:rPr>
                <w:sz w:val="24"/>
                <w:szCs w:val="24"/>
                <w:color w:val="auto"/>
              </w:rPr>
            </w:pPr>
          </w:p>
        </w:tc>
        <w:tc>
          <w:tcPr>
            <w:tcW w:w="35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Bill Roeschlein</w:t>
            </w:r>
          </w:p>
        </w:tc>
      </w:tr>
      <w:tr>
        <w:trPr>
          <w:trHeight w:val="198"/>
        </w:trPr>
        <w:tc>
          <w:tcPr>
            <w:tcW w:w="3780" w:type="dxa"/>
            <w:vAlign w:val="bottom"/>
          </w:tcPr>
          <w:p>
            <w:pPr>
              <w:spacing w:after="0"/>
              <w:rPr>
                <w:sz w:val="17"/>
                <w:szCs w:val="17"/>
                <w:color w:val="auto"/>
              </w:rPr>
            </w:pPr>
          </w:p>
        </w:tc>
        <w:tc>
          <w:tcPr>
            <w:tcW w:w="3540" w:type="dxa"/>
            <w:vAlign w:val="bottom"/>
          </w:tcPr>
          <w:p>
            <w:pPr>
              <w:ind w:left="29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Bill Roeschlein</w:t>
            </w:r>
          </w:p>
        </w:tc>
      </w:tr>
      <w:tr>
        <w:trPr>
          <w:trHeight w:val="234"/>
        </w:trPr>
        <w:tc>
          <w:tcPr>
            <w:tcW w:w="3780" w:type="dxa"/>
            <w:vAlign w:val="bottom"/>
          </w:tcPr>
          <w:p>
            <w:pPr>
              <w:spacing w:after="0"/>
              <w:rPr>
                <w:sz w:val="20"/>
                <w:szCs w:val="20"/>
                <w:color w:val="auto"/>
              </w:rPr>
            </w:pPr>
          </w:p>
        </w:tc>
        <w:tc>
          <w:tcPr>
            <w:tcW w:w="35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82"/>
        </w:trPr>
        <w:tc>
          <w:tcPr>
            <w:tcW w:w="37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40" w:type="dxa"/>
            <w:vAlign w:val="bottom"/>
            <w:gridSpan w:val="4"/>
          </w:tcPr>
          <w:p>
            <w:pPr>
              <w:ind w:left="1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0"/>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(a)(1)(i)*</w:t>
            </w:r>
          </w:p>
        </w:tc>
        <w:tc>
          <w:tcPr>
            <w:tcW w:w="1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9"/>
            <w:shd w:val="clear" w:color="auto" w:fill="CCEEFF"/>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Offer to Exchange Certain Outstanding Options to Purchase Common Stock, dated November 12, 2024</w:t>
              </w:r>
            </w:hyperlink>
          </w:p>
        </w:tc>
      </w:tr>
      <w:tr>
        <w:trPr>
          <w:trHeight w:val="175"/>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(a)(1)(ii)*</w:t>
            </w:r>
          </w:p>
        </w:tc>
        <w:tc>
          <w:tcPr>
            <w:tcW w:w="7440" w:type="dxa"/>
            <w:vAlign w:val="bottom"/>
            <w:tcBorders>
              <w:top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of Announcement Email.</w:t>
              </w:r>
            </w:hyperlink>
          </w:p>
        </w:tc>
        <w:tc>
          <w:tcPr>
            <w:tcW w:w="266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(a)(1)(iii)*</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Election Form.</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(a)(1)(iv)*</w:t>
            </w:r>
          </w:p>
        </w:tc>
        <w:tc>
          <w:tcPr>
            <w:tcW w:w="10100" w:type="dxa"/>
            <w:vAlign w:val="bottom"/>
            <w:gridSpan w:val="9"/>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Withdrawal Form.</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(a)(1)(v)*</w:t>
            </w:r>
          </w:p>
        </w:tc>
        <w:tc>
          <w:tcPr>
            <w:tcW w:w="220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Forms of Confirmation Email.</w:t>
              </w:r>
            </w:hyperlink>
          </w:p>
        </w:tc>
        <w:tc>
          <w:tcPr>
            <w:tcW w:w="7900" w:type="dxa"/>
            <w:vAlign w:val="bottom"/>
            <w:tcBorders>
              <w:bottom w:val="single" w:sz="8" w:color="CCEEFF"/>
            </w:tcBorders>
            <w:gridSpan w:val="5"/>
            <w:shd w:val="clear" w:color="auto" w:fill="CCEEFF"/>
          </w:tcPr>
          <w:p>
            <w:pPr>
              <w:spacing w:after="0"/>
              <w:rPr>
                <w:sz w:val="17"/>
                <w:szCs w:val="17"/>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(a)(1)(vi)*</w:t>
            </w:r>
          </w:p>
        </w:tc>
        <w:tc>
          <w:tcPr>
            <w:tcW w:w="10100" w:type="dxa"/>
            <w:vAlign w:val="bottom"/>
            <w:gridSpan w:val="9"/>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Forms of Reminder Email.</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(a)(1)(vii)*</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Email to Holders Regarding Final Exchange Ratios</w:t>
              </w:r>
            </w:hyperlink>
          </w:p>
        </w:tc>
      </w:tr>
      <w:tr>
        <w:trPr>
          <w:trHeight w:val="175"/>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(a)(1)(viii)</w:t>
            </w:r>
          </w:p>
        </w:tc>
        <w:tc>
          <w:tcPr>
            <w:tcW w:w="43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Email to Holders Regarding Amendments to the Offer.</w:t>
            </w:r>
          </w:p>
        </w:tc>
        <w:tc>
          <w:tcPr>
            <w:tcW w:w="5780" w:type="dxa"/>
            <w:vAlign w:val="bottom"/>
            <w:tcBorders>
              <w:top w:val="single" w:sz="8" w:color="CCEEFF"/>
            </w:tcBorders>
            <w:gridSpan w:val="2"/>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(a)(2)</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(a)(3)</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(a)(4)</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tbl>
      <w:tblPr>
        <w:tblLayout w:type="fixed"/>
        <w:tblInd w:w="0" w:type="dxa"/>
        <w:tblCellMar>
          <w:top w:w="0" w:type="dxa"/>
          <w:left w:w="0" w:type="dxa"/>
          <w:bottom w:w="0" w:type="dxa"/>
          <w:right w:w="0" w:type="dxa"/>
        </w:tblCellMar>
      </w:tblPr>
      <w:tr>
        <w:trPr>
          <w:trHeight w:val="183"/>
        </w:trPr>
        <w:tc>
          <w:tcPr>
            <w:tcW w:w="11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(d)(1)</w:t>
            </w:r>
          </w:p>
        </w:tc>
        <w:tc>
          <w:tcPr>
            <w:tcW w:w="10100" w:type="dxa"/>
            <w:vAlign w:val="bottom"/>
            <w:gridSpan w:val="5"/>
          </w:tcPr>
          <w:p>
            <w:pPr>
              <w:spacing w:after="0" w:line="183"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2023 Equity Incentive Plan of Tigo Energy, Inc. (incorporated by reference to Exhibit 10.4 to the Company’s Current Report on Form 8-K</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(File No. 001-40710), filed with the Securities and Exchange Commission on May 30, 2023).</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24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(d)(2)</w:t>
            </w:r>
          </w:p>
        </w:tc>
        <w:tc>
          <w:tcPr>
            <w:tcW w:w="99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of Stock Option Grant Notice (incorporated by reference to Exhibit 4.9 to the Company’s Registration Statement on Form S-8 (File</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No. 333-273897), filed with the SEC on August 10, 2023).</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0000EE"/>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9">
        <w:r>
          <w:rPr>
            <w:rFonts w:ascii="Times New Roman" w:cs="Times New Roman" w:eastAsia="Times New Roman" w:hAnsi="Times New Roman"/>
            <w:sz w:val="18"/>
            <w:szCs w:val="18"/>
            <w:u w:val="single" w:color="auto"/>
            <w:color w:val="0000EE"/>
          </w:rPr>
          <w:t>Calculation of Filing Fees</w:t>
        </w:r>
      </w:hyperlink>
    </w:p>
    <w:p>
      <w:pPr>
        <w:spacing w:after="0" w:line="20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(a)(1)(viii)</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FORM OF EMAIL REGARDING AMENDMENTS TO THE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Bill Roeschlein,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Eligible Tigo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Tigo Energy, Inc. Offer to Exchange Certain Outstanding Options for New Options – Amendment to Terms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communicated to you on November 12, 2024, Tigo Energy, Inc. (“Tigo,” the “Company,” “we,” “our” or “us”) announced an offer (the “Offer”) by the Company to eligible employees and directors to exchange certain outstanding options to purchase shares of our Common Stock (“Common Stock”) for new options to purchase a number of shares of our Common Stock (“Replacement Options”).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writing to inform you that we have amended and supplemented the Offer to Exchange Certain Outstanding Options to Purchase Common Stock for a Number of Replacement Options, dated November 12, 2024 (as so amended, the “Offer to Exchange”), by filing Amendment No. 1 to our Tender Offer Statement on Schedule TO (as so amended, the “Schedule TO”) with the U.S. Securities and Exchange Commission (the “SEC”), which you may access on our website at https://investors.tigoenergy.com/financials-filings/sec-filings or through the SEC website at www.sec.gov. We recommend that you review the materials that we have filed with the SEC before making a decision on whether or not to surrender your eligible stock options for exchange.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the Offer are described in detail in the Schedule TO and the related exhibits, including the Offer to Exchange (the “Offer to Exchange” and, such exhibits collectively, the “Offering Documents”), that has been filed with the U.S. Securities and Exchange Commission, which you may access on our website at https://investors.tigoenergy.com/financials-filings/sec-filings or through the SEC website at www.sec.gov. These materials will help you to understand the terms and conditions of the Offer and the related risks.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 currently is scheduled to expire on December 10, 2024, at 11:59 p.m., Eastern Time (as such date may be extended in accordance with the Offer to Exchange, the “Offer Expiration Date”), and Replacement Options are scheduled to be granted effective promptly following the Offer Expiration Date, which is currently expected to be on or about December 10, 2024 (the “Replacement Option Grant Date”). If your employment or service, as applicable, is terminated prior to the expiration of the Offer, you will keep your eligible options and the eligible options will vest and expire in accordance with their original terms. If your employment terminates after the expiration of the Offer but prior to the Replacement Option Grant Date, the eligible options that you tendered for exchange will be cancelled but you will not receive Replacement Options.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our Board has approved the Offer, consummation of the Offer is subject to the satisfaction or waiver of certain conditions that are described in the Offer to Exchange. Neither we nor our Board (or the compensation committee thereof) makes any recommendation as to whether you should participate in the Offer, nor have we authorized any person to make such recommendation. Participation in the Offer is completely voluntary. Participating in the Offer involves risks that are discussed in the Offer to Exchange. We recommend that you consult with your personal financial, tax and/or legal advisors about whether to participate in the Offer.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notice does not constitute an offer. The full terms of the Offer are described in the Schedule TO and accompanying documents, which you may access on our website at https://investors.tigoenergy.com/financials-filings/sec-filings or through the SEC website at www.sec.gov. Capitalized terms used but not otherwise defined in this email shall have the meanings set forth in the Offering Documents.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Roeschlein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8" Type="http://schemas.openxmlformats.org/officeDocument/2006/relationships/image" Target="media/image12.png"/><Relationship Id="rId30" Type="http://schemas.openxmlformats.org/officeDocument/2006/relationships/image" Target="media/image13.png"/><Relationship Id="rId18" Type="http://schemas.openxmlformats.org/officeDocument/2006/relationships/hyperlink" Target="http://www.sec.gov/Archives/edgar/data/1855447/000121390024096800/ea022071601-exa1i_tigo.htm" TargetMode="External"/><Relationship Id="rId19" Type="http://schemas.openxmlformats.org/officeDocument/2006/relationships/hyperlink" Target="http://www.sec.gov/Archives/edgar/data/1855447/000121390024096800/ea022071601-exa1ii_tigo.htm" TargetMode="External"/><Relationship Id="rId20" Type="http://schemas.openxmlformats.org/officeDocument/2006/relationships/hyperlink" Target="http://www.sec.gov/Archives/edgar/data/1855447/000121390024096800/ea022071601-exa1iii_tigo.htm" TargetMode="External"/><Relationship Id="rId21" Type="http://schemas.openxmlformats.org/officeDocument/2006/relationships/hyperlink" Target="http://www.sec.gov/Archives/edgar/data/1855447/000121390024096800/ea022071601-exa1iv_tigo.htm" TargetMode="External"/><Relationship Id="rId22" Type="http://schemas.openxmlformats.org/officeDocument/2006/relationships/hyperlink" Target="http://www.sec.gov/Archives/edgar/data/1855447/000121390024096800/ea022071601-exa1v_tigo.htm" TargetMode="External"/><Relationship Id="rId23" Type="http://schemas.openxmlformats.org/officeDocument/2006/relationships/hyperlink" Target="http://www.sec.gov/Archives/edgar/data/1855447/000121390024096800/ea022071601-exa1vi_tigo.htm" TargetMode="External"/><Relationship Id="rId24" Type="http://schemas.openxmlformats.org/officeDocument/2006/relationships/hyperlink" Target="http://www.sec.gov/Archives/edgar/data/1855447/000121390024096800/ea022071601-exa1vii_tigo.htm" TargetMode="External"/><Relationship Id="rId26" Type="http://schemas.openxmlformats.org/officeDocument/2006/relationships/hyperlink" Target="https://www.sec.gov/Archives/edgar/data/1855447/000121390023044099/ea179362ex10-4_tigoenergy.htm" TargetMode="External"/><Relationship Id="rId27" Type="http://schemas.openxmlformats.org/officeDocument/2006/relationships/hyperlink" Target="https://www.sec.gov/Archives/edgar/data/1855447/000121390023065713/ea183124ex4-9_tigoenergy.htm" TargetMode="External"/><Relationship Id="rId29" Type="http://schemas.openxmlformats.org/officeDocument/2006/relationships/hyperlink" Target="http://www.sec.gov/Archives/edgar/data/1855447/000121390024096800/ea022071601ex-fee_tig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2024-11-22T06:34:46Z</dcterms:created>
  <dcterms:modified xsi:type="dcterms:W3CDTF">2024-11-22T06:34:46Z</dcterms:modified>
</cp:coreProperties>
</file>