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28,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001-40710</w:t>
            </w:r>
          </w:p>
        </w:tc>
        <w:tc>
          <w:tcPr>
            <w:tcW w:w="200" w:type="dxa"/>
            <w:vAlign w:val="bottom"/>
          </w:tcPr>
          <w:p>
            <w:pPr>
              <w:spacing w:after="0"/>
              <w:rPr>
                <w:sz w:val="22"/>
                <w:szCs w:val="22"/>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83-3583873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ind w:left="116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983 University Avenue, Suite B,</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Los Gatos, California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95032</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402-0802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TYGO</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2025, Tigo Energy, Inc. (the “Company”) reported its earnings for its third fiscal quarter ended September 30, 2025. A copy of the Company’s press release containing this information is furnished as Exhibit 99.1 to this Current Report on Form 8-K and is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is being furnished and shall not be deemed “filed” for purposes of Section 18 of the Securities Exchange Act of 1934, as amended (the “Exchange Act”), or otherwise subject to the liabilities under that section, or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making reference to non-GAAP financial measures in the press release. A reconciliation of these non-GAAP financial measures to the comparable GAAP financial measures is contained in the attached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56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56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the Company, October 28, 2025.</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0000EE"/>
            </w:tcBorders>
            <w:shd w:val="clear" w:color="auto" w:fill="CCEEFF"/>
          </w:tcPr>
          <w:p>
            <w:pPr>
              <w:spacing w:after="0" w:line="20" w:lineRule="exact"/>
              <w:rPr>
                <w:sz w:val="1"/>
                <w:szCs w:val="1"/>
                <w:color w:val="auto"/>
              </w:rPr>
            </w:pPr>
          </w:p>
        </w:tc>
        <w:tc>
          <w:tcPr>
            <w:tcW w:w="654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79"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 exhibits to this Exhibit omitted pursuant to Item 601(a)(5) of Regulation S-K. The Registrant agrees to furnish supplementally a copy of any omitted schedule or exhibit to the SEC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28, 2025</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Bill Roeschlein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054100"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410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Tigo Energy Reports Third Quarter 2025 Financial Results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LOS GATOS, Calif. – October 28, 2025 – Tigo Energy, Inc. (NASDAQ: TYGO) (“Tigo”, or the “Company”), </w:t>
      </w:r>
      <w:r>
        <w:rPr>
          <w:rFonts w:ascii="Times New Roman" w:cs="Times New Roman" w:eastAsia="Times New Roman" w:hAnsi="Times New Roman"/>
          <w:sz w:val="18"/>
          <w:szCs w:val="18"/>
          <w:color w:val="auto"/>
        </w:rPr>
        <w:t>a leading provider of intelligent solar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energy software solutions, today reported unaudited financial results for the third quarter ended September 30, 2025, financial guidance for the fourth quarter and updated financial guidance for the full year ending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Financial and Operational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third quarter of 2025 of $30.6 million, up 115% compared to the third quarter of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for the third quarter of 2025 of $0.6 million, compared to an Operating loss of $10.4 million in the third quarter of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third quarter of 2025 of $2.2 million, compared to a Net loss of $13.1 million in the third quarter of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for the third quarter of 2025 of $2.9 million compared to an Adjusted EBITDA loss of $8.3 million in the third quarter of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marketable securities of $40.3 million at September 30, 2025, a sequential increase of $12.3 million from the second quarter of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2025, we shipped 795 thousand units, or 600 MW, of Module Level Power Electronics (“MLPE”).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 U.S. manufacturing and marketing partnership with EG4 Electronics to produce Tigo-optimized inverters and MLPE together with EG4 solar inverters.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“We are pleased to report a 27.3% sequential increase in quarterly revenues, making it our seventh sequential increase in a row,” </w:t>
      </w:r>
      <w:r>
        <w:rPr>
          <w:rFonts w:ascii="Times New Roman" w:cs="Times New Roman" w:eastAsia="Times New Roman" w:hAnsi="Times New Roman"/>
          <w:sz w:val="18"/>
          <w:szCs w:val="18"/>
          <w:b w:val="1"/>
          <w:bCs w:val="1"/>
          <w:color w:val="auto"/>
        </w:rPr>
        <w:t>said Zvi Alon, Chairman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CEO of Tigo</w:t>
      </w:r>
      <w:r>
        <w:rPr>
          <w:rFonts w:ascii="Times New Roman" w:cs="Times New Roman" w:eastAsia="Times New Roman" w:hAnsi="Times New Roman"/>
          <w:sz w:val="18"/>
          <w:szCs w:val="18"/>
          <w:color w:val="auto"/>
        </w:rPr>
        <w:t>. “While the fourth quarter is typically a seasonally slower period for our industry, we expect revenues to remain largely in line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supported by continued strong demand for our products and a healthy backlog as we close out the year.”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we saw strong growth in the EMEA and Americas regions, which comprised 70% and 26%, respectively, of our revenue. Noteworthy, we performed exceptionally well in the U.S., as sales grew by approximately 68% sequentially from the second quarter of 2025 as we continue to make inroads in the repower market. We expect our manufacturing and marketing partnership with EG4 Electronics to further increase our performance in our domestic market.”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pleased to report a return to GAAP operating profitability this quarter, following our achievement of adjusted EBITDA profitability at the end of the second quarter,” </w:t>
      </w:r>
      <w:r>
        <w:rPr>
          <w:rFonts w:ascii="Times New Roman" w:cs="Times New Roman" w:eastAsia="Times New Roman" w:hAnsi="Times New Roman"/>
          <w:sz w:val="18"/>
          <w:szCs w:val="18"/>
          <w:b w:val="1"/>
          <w:bCs w:val="1"/>
          <w:color w:val="auto"/>
        </w:rPr>
        <w:t>stated Bill Roeschlein, Chief Financial Officer of Tigo</w:t>
      </w:r>
      <w:r>
        <w:rPr>
          <w:rFonts w:ascii="Times New Roman" w:cs="Times New Roman" w:eastAsia="Times New Roman" w:hAnsi="Times New Roman"/>
          <w:sz w:val="18"/>
          <w:szCs w:val="18"/>
          <w:color w:val="auto"/>
        </w:rPr>
        <w:t>. “Supported by a measured use of our at-the-market (ATM) program, which concluded this month, we increased cash on hand to $40.3 million at quarter-end.”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054100"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54100" cy="4546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w:t>
      </w:r>
    </w:p>
    <w:p>
      <w:pPr>
        <w:spacing w:after="0" w:line="22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Results compare the 2025 fiscal third quarter ended September 30, 2025 to the 2024 fiscal third quarter ended September 30, 2024, unless otherwise indicated. Third Quarter 2024 financials included inventory charges of $3.4 million.</w:t>
      </w:r>
    </w:p>
    <w:p>
      <w:pPr>
        <w:spacing w:after="0" w:line="160"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totaled $30.6 million, a 115.0% increase from $14.2 million. On a sequential quarter basis, revenues increased by 27.3% compared to the second quarter of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totaled $13.1 million, or 42.7% of net revenue, compared to gross profit of $1.8 million, or 12.5% of net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totaled $12.4 million, a 1.8% increase from $12.2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totaled $2.2 million, an 83.5% decrease compared to a net loss of $13.1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totaled $2.9 million, compared to an Adjusted EBITDA loss of $8.3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Financial Guidance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provides guidance for the fourth quarter ending December 31, 2025 as follows: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expected to be within the range of $29.0 million to $31.0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expected to be within the range of $2.0 million to $4.0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year 2025, the Company anticipates revenues to be between $102.5 million and $104.5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results may differ materially from the Company’s guidance as a result of, among other things, the factors described below under “Forward-Looking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Tigo management will hold a conference call today, October 28, 2025, at 4:30 p.m. Eastern Time (1:30 p.m. Pacific Time) to discuss these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CEO Zvi Alon and CFO Bill Roeschlein will host the call, followed by a question-and-answer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Registration Link Conference Call: </w:t>
      </w:r>
      <w:r>
        <w:rPr>
          <w:rFonts w:ascii="Times New Roman" w:cs="Times New Roman" w:eastAsia="Times New Roman" w:hAnsi="Times New Roman"/>
          <w:sz w:val="18"/>
          <w:szCs w:val="18"/>
          <w:color w:val="auto"/>
        </w:rPr>
        <w:t>Click here to register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Link: </w:t>
      </w:r>
      <w:r>
        <w:rPr>
          <w:rFonts w:ascii="Times New Roman" w:cs="Times New Roman" w:eastAsia="Times New Roman" w:hAnsi="Times New Roman"/>
          <w:sz w:val="18"/>
          <w:szCs w:val="18"/>
          <w:color w:val="auto"/>
        </w:rPr>
        <w:t>Click here to join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register online at least 10 minutes prior to the start time. If you have any difficulty with registration or connecting to the conference call, please contact Gateway Group at (949) 574-3860.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also be available for replay here and via the Investor Relations section of Tigo’s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Tigo Energy,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Founded in 2007, Tigo is a worldwide leader in the development and manufacture of smart hardware and software solutions that enhance safety, increase energy yield, and lower operating costs of residential, commercial, and utility-scale solar systems. Tigo combines its Flex MLPE (Module Level Power Electronics) and solar optimizer technology with intelligent, cloud-based software capabilities for advanced energy monitoring and control. Tigo MLPE products maximize performance, enable real-time energy monitoring, and provide code-required rapid shutdown at the module level. The Company also develops and manufactures products such as inverters and battery storage systems for the residential solar-plus-storage market. For more information, please visit www.tigoenergy.com.</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054100" cy="45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541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Private Securities Litigation Reform Act of 1995. Such statements include, but are not limited to, statements about our ability to increase our revenues and achieve and maintain profitability, our overall long-term growth prospects, expectations regarding a continued recovery in our industry, current and future inventory levels, inventory supply and its impact on our customer shipments, statements about our revenue and adjusted EBITDA for the fourth fiscal quarter 2025 and our revenue for the full fiscal year 2025, statements about our existing backlog and bookings, statements about the anticipated benefits of our manufacturing and marketing partnership with EG4 and our ability to realize such benefits, our ability to expand market share in the US repower market, our ability to refinance our convertible debt prior to maturity, our ability to obtain funding on acceptable to fund our working capital needs, statements about demand for our products, our competitive position, the impact of tariffs, and our ability to penetrate new markets and expand our market share, including expansion in international markets, our continued expansion of and investments in our product portfolio, and future financial and operating results, our plans, objectives, expectations and intentions with respect to future operations, products and services; and other statements identified by words such as “will likely result,” “are expected to,” “will continue,” “will allow us to” “is anticipated,” “estimated,” “expected”, “believe,” “intend,” “plan,” “projection,” “outlook” or words of similar meaning. These forward-looking statements are based upon the current beliefs and expectations of Tigo’s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 addition to factors previously disclosed, or that will be disclosed in, our reports filed with the SEC, factors which may cause actual results to differ materially from current expectations include, but are not limited to, our capital requirements and our ability to meet our future liquidity requirements and continue as a going concern; our indebtedness and liabilities and our ability to pay amounts when due under our existing indebtedness; our ability to effectively develop and sell our product offerings and services, </w:t>
      </w:r>
      <w:r>
        <w:rPr>
          <w:rFonts w:ascii="Times New Roman" w:cs="Times New Roman" w:eastAsia="Times New Roman" w:hAnsi="Times New Roman"/>
          <w:sz w:val="18"/>
          <w:szCs w:val="18"/>
          <w:color w:val="auto"/>
        </w:rPr>
        <w:t>our ability to</w:t>
      </w:r>
      <w:r>
        <w:rPr>
          <w:rFonts w:ascii="Times New Roman" w:cs="Times New Roman" w:eastAsia="Times New Roman" w:hAnsi="Times New Roman"/>
          <w:sz w:val="18"/>
          <w:szCs w:val="18"/>
          <w:i w:val="1"/>
          <w:iCs w:val="1"/>
          <w:color w:val="auto"/>
        </w:rPr>
        <w:t xml:space="preserve"> compete in the highly-competitive and evolving solar industry; our failure to meet the continued listing requirements of Nasdaq which could result in a delisting of our securities; our ability to manage risks associated with U.S. and global geopolitical and macroeconomic conditions including the potential softening of the economy, seasonal trends and the cyclical nature of the solar industry, including any periods of prolonged downturn; whether we continue to grow our customer base and expand our market share; whether we continue to develop new products and innovations to meet constantly evolving customer demands; the timing and level of demand for our solar energy solutions; changes in government subsidies and economic incentives, including tax incentives, for solar energy solutions; trade tariffs and other trade barriers that could directly affect us, our customers and the solar industry; our ability to forecast our customer demand and manufacturing requirements, and manage our inventory; our ability to acquire or make investments in other businesses, patents, technologies, products or services to grow the business and realize the anticipated benefits therefrom; our ability to respond to fluctuations in foreign currency exchange rates and political unrest and regulatory changes in the U.S. and international markets into which we expand or otherwise operate in; our failure to attract, hire retain and train highly qualified personnel in the future; and if we are unable to maintain key strategic relationships with our partners and distributors.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Actual results, performance or achievements may differ materially, and potentially adversely, from any projections and forward-looking statements and the assumptions on which those forward-looking statements are based. There can be no assurance that the forward-looking statements contained herein are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and we disclaim any intention or obligation to update any forward-looking statements as a result of new information, future developments or otherwise occurring after the date of this communication.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054100" cy="45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541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 supplement our condensed consolidated financial statements, which are prepared and presented in accordance with GAAP, we use the following non-GAAP financial measure: adjusted EBITDA. The presentation of these financial measures is not intended to be considered in isolation or as a substitute for, or superior to, the financial information prepared and presented in accordance with GAAP.</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We use adjusted EBITDA for financial and operational decision-making and as a means to evaluate period-to-period comparisons. We define adjusted EBITDA, a non-GAAP financial measure, as earnings (loss) before interest and other expenses, net, income tax expense (benefit), depreciation and amortization, as adjusted to exclude stock-based compensation and merger transaction related expenses. We believe that adjusted EBITDA provides helpful supplemental information regarding our performance by excluding certain items that may not be indicative of our core business operating results. We believe that both management and investors benefit from referring to adjusted EBITDA in assessing our performance and when planning, forecasting, and analyzing future periods. Adjusted EBITDA also facilitates management’s internal comparisons to our historical performance and comparisons to our competitors’ operating results. We believe adjusted EBITDA is useful to investors both because they (i) allow for greater transparency with respect to key metrics used by management in its financial and operational decision-making and (ii) are used by our institutional investors and the analyst community to help them analyze the health of our business.</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items excluded from adjusted EBITDA may have a material impact on our financial results. Certain of those items are non-recurring, while others are non-cash in nature. Accordingly, adjusted EBITDA is presented as supplemental disclosure and should not be considered in isolation of, as a substitute for, or superior to, the financial information prepared in accordance with GAAP.</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There are a number of limitations related to the use of non-GAAP financial measures. We compensate for these limitations by providing specific information regarding the GAAP amounts excluded from these non-GAAP financial measures and evaluating these non-GAAP financial measures together with their relevant financial measures in accordance with GAAP.</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We refer investors to the reconciliation adjusted EBITDA to net income (loss) included below. A reconciliation for adjusted EBITDA provided as guidance is not provided because, as a forward-looking statement, such reconciliation is not available without unreasonable effort due to the high variability, complexity, and difficulty of estimating certain items such as charges to stock-based compensation expense and currency fluctuations which could have an impact on our consolidated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Ralf Esper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Gateway Group, Inc.</w:t>
      </w:r>
    </w:p>
    <w:p>
      <w:pPr>
        <w:spacing w:after="0" w:line="9" w:lineRule="exact"/>
        <w:rPr>
          <w:sz w:val="20"/>
          <w:szCs w:val="20"/>
          <w:color w:val="auto"/>
        </w:rPr>
      </w:pPr>
    </w:p>
    <w:p>
      <w:pPr>
        <w:ind w:right="9320" w:firstLine="8"/>
        <w:spacing w:after="0" w:line="290" w:lineRule="auto"/>
        <w:tabs>
          <w:tab w:leader="none" w:pos="4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574-3860 TYGO@gateway-grp.com</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054100" cy="454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54100" cy="4540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short-term</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21,997</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 of 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2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 net of unamortized debt discount and issuance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Warranty liability,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84,870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17,108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liability,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unamortized debt discount and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40,511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95,784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64,526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146,903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(152,123)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(138,526)</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12,055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8,385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054100" cy="454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54100" cy="4540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Income</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6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1"/>
                <w:szCs w:val="21"/>
                <w:color w:val="auto"/>
              </w:rPr>
            </w:pPr>
          </w:p>
        </w:tc>
        <w:tc>
          <w:tcPr>
            <w:tcW w:w="234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466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36,740</w:t>
            </w:r>
          </w:p>
        </w:tc>
        <w:tc>
          <w:tcPr>
            <w:tcW w:w="100" w:type="dxa"/>
            <w:vAlign w:val="bottom"/>
            <w:shd w:val="clear" w:color="auto" w:fill="CCEEFF"/>
          </w:tcPr>
          <w:p>
            <w:pPr>
              <w:spacing w:after="0"/>
              <w:rPr>
                <w:sz w:val="18"/>
                <w:szCs w:val="18"/>
                <w:color w:val="auto"/>
              </w:rPr>
            </w:pPr>
          </w:p>
        </w:tc>
      </w:tr>
      <w:tr>
        <w:trPr>
          <w:trHeight w:val="23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17,552</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12,463</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42,510</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28,333</w:t>
            </w:r>
          </w:p>
        </w:tc>
      </w:tr>
      <w:tr>
        <w:trPr>
          <w:trHeight w:val="216"/>
        </w:trPr>
        <w:tc>
          <w:tcPr>
            <w:tcW w:w="46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2,501</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2,433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6,932</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7,608</w:t>
            </w: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4,515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12,843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13,036</w:t>
            </w:r>
          </w:p>
        </w:tc>
      </w:tr>
      <w:tr>
        <w:trPr>
          <w:trHeight w:val="23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5,396</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5,380</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16,054</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15,671</w:t>
            </w:r>
          </w:p>
        </w:tc>
      </w:tr>
      <w:tr>
        <w:trPr>
          <w:trHeight w:val="236"/>
        </w:trPr>
        <w:tc>
          <w:tcPr>
            <w:tcW w:w="46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66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Income (loss) from operations</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649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(10,417)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(4,832)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(27,908)</w:t>
            </w:r>
          </w:p>
        </w:tc>
        <w:tc>
          <w:tcPr>
            <w:tcW w:w="100" w:type="dxa"/>
            <w:vAlign w:val="bottom"/>
          </w:tcPr>
          <w:p>
            <w:pPr>
              <w:spacing w:after="0"/>
              <w:rPr>
                <w:sz w:val="17"/>
                <w:szCs w:val="17"/>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 net: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shares liability</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2,861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2,861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8,549</w:t>
            </w:r>
          </w:p>
        </w:tc>
      </w:tr>
      <w:tr>
        <w:trPr>
          <w:trHeight w:val="23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6"/>
        </w:trPr>
        <w:tc>
          <w:tcPr>
            <w:tcW w:w="46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3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6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 expense</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(1,936)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(13,117)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(12,913)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(35,928)</w:t>
            </w:r>
          </w:p>
        </w:tc>
        <w:tc>
          <w:tcPr>
            <w:tcW w:w="100" w:type="dxa"/>
            <w:vAlign w:val="bottom"/>
          </w:tcPr>
          <w:p>
            <w:pPr>
              <w:spacing w:after="0"/>
              <w:rPr>
                <w:sz w:val="17"/>
                <w:szCs w:val="17"/>
                <w:color w:val="auto"/>
              </w:rPr>
            </w:pPr>
          </w:p>
        </w:tc>
      </w:tr>
      <w:tr>
        <w:trPr>
          <w:trHeight w:val="25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684</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46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(2,166</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(13,117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(13,597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(35,944</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6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5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5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65,683,332</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60,608,934</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63,226,401</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60,130,249</w:t>
            </w: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65,683,332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60,608,934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63,226,401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60,130,249</w:t>
            </w:r>
          </w:p>
        </w:tc>
      </w:tr>
      <w:tr>
        <w:trPr>
          <w:trHeight w:val="547"/>
        </w:trPr>
        <w:tc>
          <w:tcPr>
            <w:tcW w:w="4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054100" cy="454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54100" cy="4540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5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to write down inventories to net realizable value</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3,879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shares liability</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6,706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5,994</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interest on marketable securities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(7,696)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(7,403)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10,733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19,993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 liability</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8,674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(13,407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(28,862)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21,625</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25,818</w:t>
            </w:r>
          </w:p>
        </w:tc>
        <w:tc>
          <w:tcPr>
            <w:tcW w:w="0" w:type="dxa"/>
            <w:vAlign w:val="bottom"/>
          </w:tcPr>
          <w:p>
            <w:pPr>
              <w:spacing w:after="0"/>
              <w:rPr>
                <w:sz w:val="1"/>
                <w:szCs w:val="1"/>
                <w:color w:val="auto"/>
              </w:rPr>
            </w:pPr>
          </w:p>
        </w:tc>
      </w:tr>
      <w:tr>
        <w:trPr>
          <w:trHeight w:val="236"/>
        </w:trPr>
        <w:tc>
          <w:tcPr>
            <w:tcW w:w="54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2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at-the-market offering</w:t>
            </w:r>
          </w:p>
        </w:tc>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11,365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tax withholdings on restricted stock awards and options</w:t>
            </w:r>
          </w:p>
        </w:tc>
        <w:tc>
          <w:tcPr>
            <w:tcW w:w="3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11,482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11,746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4,405</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8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4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054100" cy="454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54100" cy="4546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6"/>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 (GAAP)</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8,020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917</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1,906</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1,786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5,782</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5,994</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(loss) - (Non-GAAP)</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encourage investors and others to review our financial information in its entirety and not to rely on any single financial measure.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2025-11-19T12:25:52Z</dcterms:created>
  <dcterms:modified xsi:type="dcterms:W3CDTF">2025-11-19T12:25:52Z</dcterms:modified>
</cp:coreProperties>
</file>