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ROESCHLEIN BILL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30,151</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538,647</w:t>
            </w:r>
            <w:r>
              <w:rPr>
                <w:rFonts w:ascii="Times;serif" w:hAnsi="Times;serif"/>
                <w:color w:val="008000"/>
                <w:position w:val="7"/>
                <w:sz w:val="16"/>
                <w:sz w:val="20"/>
                <w:shd w:fill="FFFFFF" w:val="clear"/>
              </w:rPr>
              <w:t>(2)(3)(4)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59,258 shares of Common Stock underlying RSUs granted to the reporting person on September 16, 2024 (the "September 2024 Grant Date"), 128,244 shares of Common Stock underlying RSUs granted to the reporting person on August 1, 2025 (the "August 2025 Grant Date"), and 146,900 shares of Common Stock underlying RSUs granted to the reporting person on August 7, 2026 (the "August 2026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an equal number of shares of Common Stock were delivered to the reporting person on each of September 16, 2025 and September 16, 2026. One-third (1/3) of the RSUs subject to the grant shall vest, and an equal number of shares of Common Stock will be deliverable to the reporting person, on the third anniversary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 One-Third (1/3) of the RSUs granted to the reporting person on August 7, 2026 shall vest, and an equal number of shares of Common Stock will be deliverable to the reporting person, on each of the first three anniversaries of the August 2026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6669"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922</Words>
  <Characters>4868</Characters>
  <CharactersWithSpaces>5720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