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739775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8" w:lineRule="exact"/>
        <w:rPr>
          <w:sz w:val="24"/>
          <w:szCs w:val="24"/>
          <w:color w:val="auto"/>
        </w:rPr>
      </w:pPr>
    </w:p>
    <w:p>
      <w:pPr>
        <w:ind w:left="3880" w:right="1620" w:hanging="3859"/>
        <w:spacing w:after="0" w:line="351" w:lineRule="auto"/>
        <w:tabs>
          <w:tab w:leader="none" w:pos="48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001-40710</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Tigo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42"/>
        </w:trPr>
        <w:tc>
          <w:tcPr>
            <w:tcW w:w="5200" w:type="dxa"/>
            <w:vAlign w:val="bottom"/>
          </w:tcPr>
          <w:p>
            <w:pPr>
              <w:jc w:val="center"/>
              <w:ind w:right="1604"/>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2660" w:type="dxa"/>
            <w:vAlign w:val="bottom"/>
          </w:tcPr>
          <w:p>
            <w:pPr>
              <w:jc w:val="center"/>
              <w:ind w:left="1626"/>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0"/>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660" w:type="dxa"/>
            <w:vAlign w:val="bottom"/>
          </w:tcPr>
          <w:p>
            <w:pPr>
              <w:jc w:val="center"/>
              <w:ind w:left="16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8"/>
                <w:szCs w:val="18"/>
                <w:b w:val="1"/>
                <w:bCs w:val="1"/>
                <w:color w:val="auto"/>
                <w:w w:val="99"/>
              </w:rPr>
              <w:t>655 Campbell Technology Parkway, Suite 150</w:t>
            </w:r>
          </w:p>
        </w:tc>
        <w:tc>
          <w:tcPr>
            <w:tcW w:w="26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95008</w:t>
            </w:r>
          </w:p>
        </w:tc>
      </w:tr>
      <w:tr>
        <w:trPr>
          <w:trHeight w:val="238"/>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8"/>
                <w:szCs w:val="18"/>
                <w:b w:val="1"/>
                <w:bCs w:val="1"/>
                <w:color w:val="auto"/>
              </w:rPr>
              <w:t>Campbell, California</w:t>
            </w:r>
          </w:p>
        </w:tc>
        <w:tc>
          <w:tcPr>
            <w:tcW w:w="2660" w:type="dxa"/>
            <w:vAlign w:val="bottom"/>
          </w:tcPr>
          <w:p>
            <w:pPr>
              <w:spacing w:after="0"/>
              <w:rPr>
                <w:sz w:val="20"/>
                <w:szCs w:val="20"/>
                <w:color w:val="auto"/>
              </w:rPr>
            </w:pPr>
          </w:p>
        </w:tc>
      </w:tr>
      <w:tr>
        <w:trPr>
          <w:trHeight w:val="173"/>
        </w:trPr>
        <w:tc>
          <w:tcPr>
            <w:tcW w:w="5200" w:type="dxa"/>
            <w:vAlign w:val="bottom"/>
          </w:tcPr>
          <w:p>
            <w:pPr>
              <w:jc w:val="center"/>
              <w:ind w:right="16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60" w:type="dxa"/>
            <w:vAlign w:val="bottom"/>
          </w:tcPr>
          <w:p>
            <w:pPr>
              <w:jc w:val="center"/>
              <w:ind w:left="16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402-0802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4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60" w:type="dxa"/>
            <w:vAlign w:val="bottom"/>
            <w:shd w:val="clear" w:color="auto" w:fill="CFF0FC"/>
          </w:tcPr>
          <w:p>
            <w:pPr>
              <w:spacing w:after="0"/>
              <w:rPr>
                <w:sz w:val="14"/>
                <w:szCs w:val="14"/>
                <w:color w:val="auto"/>
              </w:rPr>
            </w:pPr>
          </w:p>
        </w:tc>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TYGO</w:t>
            </w:r>
          </w:p>
        </w:tc>
        <w:tc>
          <w:tcPr>
            <w:tcW w:w="140" w:type="dxa"/>
            <w:vAlign w:val="bottom"/>
            <w:shd w:val="clear" w:color="auto" w:fill="CFF0FC"/>
          </w:tcPr>
          <w:p>
            <w:pPr>
              <w:spacing w:after="0"/>
              <w:rPr>
                <w:sz w:val="14"/>
                <w:szCs w:val="14"/>
                <w:color w:val="auto"/>
              </w:rPr>
            </w:pPr>
          </w:p>
        </w:tc>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54" w:lineRule="exact"/>
        <w:rPr>
          <w:sz w:val="24"/>
          <w:szCs w:val="24"/>
          <w:color w:val="auto"/>
        </w:rPr>
      </w:pPr>
    </w:p>
    <w:p>
      <w:pPr>
        <w:jc w:val="both"/>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42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0" w:lineRule="exact"/>
        <w:rPr>
          <w:sz w:val="24"/>
          <w:szCs w:val="24"/>
          <w:color w:val="auto"/>
        </w:rPr>
      </w:pPr>
    </w:p>
    <w:p>
      <w:pPr>
        <w:ind w:right="6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6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2, 2024, the registrant had 60,477,864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 this Quarterly Report on Form 10-Q may include, for example, statements about:</w:t>
      </w:r>
    </w:p>
    <w:p>
      <w:pPr>
        <w:spacing w:after="0" w:line="117"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future liquidity requirements, which may require us to raise financing in the future;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opportunities of the Company;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the listing of securities on Nasdaq;</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and sell its product offerings and services;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risks associated with seasonal trends and the cyclical nature of the solar industry;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the Company's securities;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and protect intellectual property;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risks associated with the Company’s dependence on a small number of outside contract manufacturers;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working with leading solar manufacturers;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respond to fluctuations in foreign currency exchange rates and political unrest and regulatory changes in international markets into which the Company expands or otherwise operate in;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enhance future operating and financial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monetize its inventory on-hand;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retain or recruit, or changes required in, its officers, key employees or directors;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implement and maintain effective internal controls;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Company’s business, operations and financial performance, including:</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comply with laws and regulations applicable to its business;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market conditions and global and economic factors beyond the Company’s control;</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compete in the highly competitive and evolving solar industry;</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continue to develop new products and innovations to meet constantly evolving customer demands;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enter into, successfully maintain and manage relationships with partners and distributors; and</w:t>
      </w:r>
    </w:p>
    <w:p>
      <w:pPr>
        <w:spacing w:after="0" w:line="116" w:lineRule="exact"/>
        <w:rPr>
          <w:rFonts w:ascii="Times New Roman" w:cs="Times New Roman" w:eastAsia="Times New Roman" w:hAnsi="Times New Roman"/>
          <w:sz w:val="18"/>
          <w:szCs w:val="18"/>
          <w:color w:val="auto"/>
        </w:rPr>
      </w:pPr>
    </w:p>
    <w:p>
      <w:pPr>
        <w:ind w:left="154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Company’s ability to acquire or make investments in other businesses, patents, technologies, products or services to grow the business, and realize the anticipated benefits therefrom.</w:t>
      </w:r>
    </w:p>
    <w:p>
      <w:pPr>
        <w:spacing w:after="0" w:line="16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this Quarterly Report on Form 10-Q, in particular the risks described in Part II, Item 1A, “Risk Factors” of this Quarterly Report and in Part I, Item 1A, “Risk Factors” in the Company’s Annual Report on Form 10-K filed with the Securities and Exchange Commission (the “SEC”) on March 21, 2024 (the “2023 Annual Report”) and the Company’s other filings with the SEC. It is not possible for the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45"/>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00" w:type="dxa"/>
            <w:vAlign w:val="bottom"/>
          </w:tcPr>
          <w:p>
            <w:pPr>
              <w:spacing w:after="0"/>
              <w:rPr>
                <w:sz w:val="24"/>
                <w:szCs w:val="24"/>
                <w:color w:val="auto"/>
              </w:rPr>
            </w:pPr>
          </w:p>
        </w:tc>
      </w:tr>
      <w:tr>
        <w:trPr>
          <w:trHeight w:val="202"/>
        </w:trPr>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for the Three and Six Months ended June 30, 2024,</w:t>
            </w:r>
          </w:p>
        </w:tc>
        <w:tc>
          <w:tcPr>
            <w:tcW w:w="90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6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and 2023</w:t>
            </w:r>
          </w:p>
        </w:tc>
        <w:tc>
          <w:tcPr>
            <w:tcW w:w="9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Convertible Preferred Stock and Stockholders’ Equity (Deficit) for the Three and Six</w:t>
            </w:r>
          </w:p>
        </w:tc>
        <w:tc>
          <w:tcPr>
            <w:tcW w:w="90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6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Months ended June 30, 2024, and 2023</w:t>
            </w:r>
          </w:p>
        </w:tc>
        <w:tc>
          <w:tcPr>
            <w:tcW w:w="9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104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60" w:type="dxa"/>
            <w:vAlign w:val="bottom"/>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00" w:type="dxa"/>
            <w:vAlign w:val="bottom"/>
          </w:tcPr>
          <w:p>
            <w:pPr>
              <w:spacing w:after="0"/>
              <w:rPr>
                <w:sz w:val="22"/>
                <w:szCs w:val="22"/>
                <w:color w:val="auto"/>
              </w:rPr>
            </w:pPr>
          </w:p>
        </w:tc>
      </w:tr>
      <w:tr>
        <w:trPr>
          <w:trHeight w:val="202"/>
        </w:trPr>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0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75"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TIGO ENERGY,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540" w:type="dxa"/>
            <w:vAlign w:val="bottom"/>
            <w:shd w:val="clear" w:color="auto" w:fill="CFF0FC"/>
          </w:tcPr>
          <w:p>
            <w:pPr>
              <w:ind w:left="5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Marketable securities, short-term</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26,806</w:t>
            </w:r>
          </w:p>
        </w:tc>
        <w:tc>
          <w:tcPr>
            <w:tcW w:w="100" w:type="dxa"/>
            <w:vAlign w:val="bottom"/>
            <w:shd w:val="clear" w:color="auto" w:fill="CFF0FC"/>
          </w:tcPr>
          <w:p>
            <w:pPr>
              <w:spacing w:after="0"/>
              <w:rPr>
                <w:sz w:val="20"/>
                <w:szCs w:val="20"/>
                <w:color w:val="auto"/>
              </w:rPr>
            </w:pPr>
          </w:p>
        </w:tc>
      </w:tr>
      <w:tr>
        <w:trPr>
          <w:trHeight w:val="202"/>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 of allowances for credit losses of $2,570 and $4,011 at June 30, 2024, and December</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31, 2023, respectively</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51,311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61,401</w:t>
            </w:r>
          </w:p>
        </w:tc>
        <w:tc>
          <w:tcPr>
            <w:tcW w:w="100" w:type="dxa"/>
            <w:vAlign w:val="bottom"/>
            <w:shd w:val="clear" w:color="auto" w:fill="CFF0FC"/>
          </w:tcPr>
          <w:p>
            <w:pPr>
              <w:spacing w:after="0"/>
              <w:rPr>
                <w:sz w:val="20"/>
                <w:szCs w:val="20"/>
                <w:color w:val="auto"/>
              </w:rPr>
            </w:pPr>
          </w:p>
        </w:tc>
      </w:tr>
      <w:tr>
        <w:trPr>
          <w:trHeight w:val="223"/>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83,094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104,710</w:t>
            </w:r>
          </w:p>
        </w:tc>
        <w:tc>
          <w:tcPr>
            <w:tcW w:w="100" w:type="dxa"/>
            <w:vAlign w:val="bottom"/>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 long-term</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9"/>
                <w:szCs w:val="19"/>
                <w:color w:val="auto"/>
              </w:rPr>
            </w:pPr>
          </w:p>
        </w:tc>
      </w:tr>
      <w:tr>
        <w:trPr>
          <w:trHeight w:val="232"/>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103,329</w:t>
            </w:r>
          </w:p>
        </w:tc>
        <w:tc>
          <w:tcPr>
            <w:tcW w:w="2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127,777</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40" w:type="dxa"/>
            <w:vAlign w:val="bottom"/>
            <w:shd w:val="clear" w:color="auto" w:fill="CFF0FC"/>
          </w:tcPr>
          <w:p>
            <w:pPr>
              <w:ind w:left="38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15,685</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Warranty liability, current portion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9"/>
                <w:szCs w:val="19"/>
                <w:color w:val="auto"/>
              </w:rPr>
            </w:pPr>
          </w:p>
        </w:tc>
      </w:tr>
      <w:tr>
        <w:trPr>
          <w:trHeight w:val="232"/>
        </w:trPr>
        <w:tc>
          <w:tcPr>
            <w:tcW w:w="75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26,419</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Warranty liability, net of current portion</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debt, net of unamortized debt discount and issuance costs</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36,040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31,570</w:t>
            </w:r>
          </w:p>
        </w:tc>
        <w:tc>
          <w:tcPr>
            <w:tcW w:w="100" w:type="dxa"/>
            <w:vAlign w:val="bottom"/>
            <w:shd w:val="clear" w:color="auto" w:fill="CFF0FC"/>
          </w:tcPr>
          <w:p>
            <w:pPr>
              <w:spacing w:after="0"/>
              <w:rPr>
                <w:sz w:val="20"/>
                <w:szCs w:val="20"/>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9"/>
                <w:szCs w:val="19"/>
                <w:color w:val="auto"/>
              </w:rPr>
            </w:pPr>
          </w:p>
        </w:tc>
      </w:tr>
      <w:tr>
        <w:trPr>
          <w:trHeight w:val="223"/>
        </w:trPr>
        <w:tc>
          <w:tcPr>
            <w:tcW w:w="75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58,589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$0.0001 par value: 150,000,000 authorized; 60,371,987 and 58,751,666 shares issued and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at June 30, 2024, and December 31, 2023, respectively</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r>
      <w:tr>
        <w:trPr>
          <w:trHeight w:val="239"/>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143,364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138,657</w:t>
            </w:r>
          </w:p>
        </w:tc>
        <w:tc>
          <w:tcPr>
            <w:tcW w:w="100" w:type="dxa"/>
            <w:vAlign w:val="bottom"/>
            <w:shd w:val="clear" w:color="auto" w:fill="CFF0FC"/>
          </w:tcPr>
          <w:p>
            <w:pPr>
              <w:spacing w:after="0"/>
              <w:rPr>
                <w:sz w:val="20"/>
                <w:szCs w:val="20"/>
                <w:color w:val="auto"/>
              </w:rPr>
            </w:pPr>
          </w:p>
        </w:tc>
      </w:tr>
      <w:tr>
        <w:trPr>
          <w:trHeight w:val="220"/>
        </w:trPr>
        <w:tc>
          <w:tcPr>
            <w:tcW w:w="7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(98,607 )</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(75,780 )</w:t>
            </w:r>
          </w:p>
        </w:tc>
      </w:tr>
      <w:tr>
        <w:trPr>
          <w:trHeight w:val="232"/>
        </w:trPr>
        <w:tc>
          <w:tcPr>
            <w:tcW w:w="7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(59 )</w:t>
            </w:r>
          </w:p>
        </w:tc>
      </w:tr>
      <w:tr>
        <w:trPr>
          <w:trHeight w:val="223"/>
        </w:trPr>
        <w:tc>
          <w:tcPr>
            <w:tcW w:w="754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44,740</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62,824</w:t>
            </w:r>
          </w:p>
        </w:tc>
        <w:tc>
          <w:tcPr>
            <w:tcW w:w="100" w:type="dxa"/>
            <w:vAlign w:val="bottom"/>
            <w:tcBorders>
              <w:top w:val="single" w:sz="8" w:color="CFF0FC"/>
            </w:tcBorders>
          </w:tcPr>
          <w:p>
            <w:pPr>
              <w:spacing w:after="0"/>
              <w:rPr>
                <w:sz w:val="19"/>
                <w:szCs w:val="19"/>
                <w:color w:val="auto"/>
              </w:rPr>
            </w:pPr>
          </w:p>
        </w:tc>
      </w:tr>
      <w:tr>
        <w:trPr>
          <w:trHeight w:val="263"/>
        </w:trPr>
        <w:tc>
          <w:tcPr>
            <w:tcW w:w="75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103,329</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127,777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-3432810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-3432810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-2233930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-1343660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-333375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4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118,884</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74,609</w:t>
            </w:r>
          </w:p>
        </w:tc>
        <w:tc>
          <w:tcPr>
            <w:tcW w:w="100" w:type="dxa"/>
            <w:vAlign w:val="bottom"/>
          </w:tcPr>
          <w:p>
            <w:pPr>
              <w:spacing w:after="0"/>
              <w:rPr>
                <w:sz w:val="20"/>
                <w:szCs w:val="20"/>
                <w:color w:val="auto"/>
              </w:rPr>
            </w:pPr>
          </w:p>
        </w:tc>
      </w:tr>
      <w:tr>
        <w:trPr>
          <w:trHeight w:val="240"/>
        </w:trPr>
        <w:tc>
          <w:tcPr>
            <w:tcW w:w="5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44,275</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100" w:type="dxa"/>
            <w:vAlign w:val="bottom"/>
          </w:tcPr>
          <w:p>
            <w:pPr>
              <w:spacing w:after="0"/>
              <w:rPr>
                <w:sz w:val="20"/>
                <w:szCs w:val="20"/>
                <w:color w:val="auto"/>
              </w:rPr>
            </w:pPr>
          </w:p>
        </w:tc>
      </w:tr>
      <w:tr>
        <w:trPr>
          <w:trHeight w:val="240"/>
        </w:trPr>
        <w:tc>
          <w:tcPr>
            <w:tcW w:w="58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(8,403 )</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(17,491 )</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 in fair value of preferred stock warrant and contingent shares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liability</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100" w:type="dxa"/>
            <w:vAlign w:val="bottom"/>
          </w:tcPr>
          <w:p>
            <w:pPr>
              <w:spacing w:after="0"/>
              <w:rPr>
                <w:sz w:val="20"/>
                <w:szCs w:val="20"/>
                <w:color w:val="auto"/>
              </w:rPr>
            </w:pPr>
          </w:p>
        </w:tc>
      </w:tr>
      <w:tr>
        <w:trPr>
          <w:trHeight w:val="247"/>
        </w:trPr>
        <w:tc>
          <w:tcPr>
            <w:tcW w:w="5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0"/>
                <w:szCs w:val="20"/>
                <w:color w:val="auto"/>
              </w:rPr>
            </w:pPr>
          </w:p>
        </w:tc>
      </w:tr>
      <w:tr>
        <w:trPr>
          <w:trHeight w:val="243"/>
        </w:trPr>
        <w:tc>
          <w:tcPr>
            <w:tcW w:w="5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(672 )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(213 )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(1,223 )</w:t>
            </w:r>
          </w:p>
        </w:tc>
      </w:tr>
      <w:tr>
        <w:trPr>
          <w:trHeight w:val="236"/>
        </w:trPr>
        <w:tc>
          <w:tcPr>
            <w:tcW w:w="5820" w:type="dxa"/>
            <w:vAlign w:val="bottom"/>
            <w:tcBorders>
              <w:top w:val="single" w:sz="8" w:color="CFF0FC"/>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41,774</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42,684</w:t>
            </w:r>
          </w:p>
        </w:tc>
        <w:tc>
          <w:tcPr>
            <w:tcW w:w="100" w:type="dxa"/>
            <w:vAlign w:val="bottom"/>
            <w:tcBorders>
              <w:top w:val="single" w:sz="8" w:color="CFF0FC"/>
            </w:tcBorders>
          </w:tcPr>
          <w:p>
            <w:pPr>
              <w:spacing w:after="0"/>
              <w:rPr>
                <w:sz w:val="20"/>
                <w:szCs w:val="20"/>
                <w:color w:val="auto"/>
              </w:rPr>
            </w:pPr>
          </w:p>
        </w:tc>
      </w:tr>
      <w:tr>
        <w:trPr>
          <w:trHeight w:val="240"/>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(11,305 )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(33,109 )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(22,811 )</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(26,199 )</w:t>
            </w:r>
          </w:p>
        </w:tc>
      </w:t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(10,933 )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(10,933 )</w:t>
            </w: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(11,321 )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(22,176 )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(22,827 )</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(15,266 )</w:t>
            </w:r>
          </w:p>
        </w:tc>
      </w:tr>
      <w:tr>
        <w:trPr>
          <w:trHeight w:val="240"/>
        </w:trPr>
        <w:tc>
          <w:tcPr>
            <w:tcW w:w="56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11"/>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(loss) resulting from change in fair value of marketable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(181 )</w:t>
            </w:r>
          </w:p>
        </w:tc>
      </w:tr>
      <w:tr>
        <w:trPr>
          <w:trHeight w:val="243"/>
        </w:trPr>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2"/>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(11,297 )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(22,371 )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(22,791 )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(15,447 )</w:t>
            </w:r>
          </w:p>
        </w:tc>
      </w:tr>
      <w:tr>
        <w:trPr>
          <w:trHeight w:val="254"/>
        </w:trPr>
        <w:tc>
          <w:tcPr>
            <w:tcW w:w="568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43"/>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(11,321 )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(22,176 )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(22,827 )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(15,266 )</w:t>
            </w:r>
          </w:p>
        </w:tc>
      </w:t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dividends on convertible preferred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(1,248 )</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(3,399 )</w:t>
            </w: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(11,321 )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(23,424 )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(22,827 )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(18,665 )</w:t>
            </w:r>
          </w:p>
        </w:tc>
      </w:tr>
      <w:tr>
        <w:trPr>
          <w:trHeight w:val="227"/>
        </w:trPr>
        <w:tc>
          <w:tcPr>
            <w:tcW w:w="568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common share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(0.19 )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r>
      <w:tr>
        <w:trPr>
          <w:trHeight w:val="247"/>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(0.19 )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60,363,680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27,750,374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59,874,991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17,174,936</w:t>
            </w:r>
          </w:p>
        </w:tc>
        <w:tc>
          <w:tcPr>
            <w:tcW w:w="100" w:type="dxa"/>
            <w:vAlign w:val="bottom"/>
            <w:shd w:val="clear" w:color="auto" w:fill="CFF0FC"/>
          </w:tcPr>
          <w:p>
            <w:pPr>
              <w:spacing w:after="0"/>
              <w:rPr>
                <w:sz w:val="21"/>
                <w:szCs w:val="21"/>
                <w:color w:val="auto"/>
              </w:rPr>
            </w:pPr>
          </w:p>
        </w:tc>
      </w:tr>
      <w:tr>
        <w:trPr>
          <w:trHeight w:val="234"/>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60,363,680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27,750,374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59,874,991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17,174,936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-4566285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-4566285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-4566285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-4566285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-3179445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-3179445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-3179445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-2536825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-2536825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-2536825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-1766570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-1749425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-1766570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-1749425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-1766570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-1749425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-1766570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-1749425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-1098550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-1081405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-1098550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-1081405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-1098550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-1081405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-1098550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-1081405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7"/>
        </w:trPr>
        <w:tc>
          <w:tcPr>
            <w:tcW w:w="3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58,751,666</w:t>
            </w:r>
          </w:p>
        </w:tc>
        <w:tc>
          <w:tcPr>
            <w:tcW w:w="1100" w:type="dxa"/>
            <w:vAlign w:val="bottom"/>
            <w:gridSpan w:val="2"/>
            <w:shd w:val="clear" w:color="auto" w:fill="CFF0FC"/>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138,657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(75,780 )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755,016</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the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166,271</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of fSight (see Note 4)</w:t>
            </w: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employee</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685,213</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stock awards</w:t>
            </w:r>
          </w:p>
        </w:tc>
        <w:tc>
          <w:tcPr>
            <w:tcW w:w="11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gain resulting from change in fair value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(11,506 )</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(11,506 )</w:t>
            </w:r>
          </w:p>
        </w:tc>
        <w:tc>
          <w:tcPr>
            <w:tcW w:w="0" w:type="dxa"/>
            <w:vAlign w:val="bottom"/>
          </w:tcPr>
          <w:p>
            <w:pPr>
              <w:spacing w:after="0"/>
              <w:rPr>
                <w:sz w:val="1"/>
                <w:szCs w:val="1"/>
                <w:color w:val="auto"/>
              </w:rPr>
            </w:pPr>
          </w:p>
        </w:tc>
      </w:tr>
      <w:tr>
        <w:trPr>
          <w:trHeight w:val="20"/>
        </w:trPr>
        <w:tc>
          <w:tcPr>
            <w:tcW w:w="3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60,358,166</w:t>
            </w:r>
          </w:p>
        </w:tc>
        <w:tc>
          <w:tcPr>
            <w:tcW w:w="240" w:type="dxa"/>
            <w:vAlign w:val="bottom"/>
          </w:tcPr>
          <w:p>
            <w:pPr>
              <w:spacing w:after="0"/>
              <w:rPr>
                <w:sz w:val="14"/>
                <w:szCs w:val="14"/>
                <w:color w:val="auto"/>
              </w:rPr>
            </w:pP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141,651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(87,286 )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2"/>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13,821</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gain resulting from change in fair value of</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1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(11,321 )</w:t>
            </w: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(11,321 )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60,371,987</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143,364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(98,607 )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-829945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-829945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-829945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-829945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-829945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-24765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6"/>
              </w:rPr>
              <w:t>Stockholders’ (deficit) equity</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Borders>
              <w:right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Pr>
          <w:p>
            <w:pPr>
              <w:spacing w:after="0"/>
              <w:rPr>
                <w:sz w:val="13"/>
                <w:szCs w:val="13"/>
                <w:color w:val="auto"/>
              </w:rPr>
            </w:pPr>
          </w:p>
        </w:tc>
        <w:tc>
          <w:tcPr>
            <w:tcW w:w="1680" w:type="dxa"/>
            <w:vAlign w:val="bottom"/>
            <w:gridSpan w:val="3"/>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w:t>
            </w:r>
          </w:p>
        </w:tc>
        <w:tc>
          <w:tcPr>
            <w:tcW w:w="180" w:type="dxa"/>
            <w:vAlign w:val="bottom"/>
          </w:tcPr>
          <w:p>
            <w:pPr>
              <w:spacing w:after="0"/>
              <w:rPr>
                <w:sz w:val="11"/>
                <w:szCs w:val="11"/>
                <w:color w:val="auto"/>
              </w:rPr>
            </w:pPr>
          </w:p>
        </w:tc>
        <w:tc>
          <w:tcPr>
            <w:tcW w:w="7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2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2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 income</w:t>
            </w:r>
          </w:p>
        </w:tc>
        <w:tc>
          <w:tcPr>
            <w:tcW w:w="9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(deficit) 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199,145,285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87,140</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23,442,353</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6,521</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(62,215 )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(55,692 )</w:t>
            </w:r>
          </w:p>
        </w:tc>
        <w:tc>
          <w:tcPr>
            <w:tcW w:w="0" w:type="dxa"/>
            <w:vAlign w:val="bottom"/>
          </w:tcPr>
          <w:p>
            <w:pPr>
              <w:spacing w:after="0"/>
              <w:rPr>
                <w:sz w:val="1"/>
                <w:szCs w:val="1"/>
                <w:color w:val="auto"/>
              </w:rPr>
            </w:pPr>
          </w:p>
        </w:tc>
      </w:tr>
      <w:tr>
        <w:trPr>
          <w:trHeight w:val="17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Retroactive application (Note 3)</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(152,677,720 )</w:t>
            </w:r>
          </w:p>
        </w:tc>
        <w:tc>
          <w:tcPr>
            <w:tcW w:w="12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(17,972,432 )</w:t>
            </w:r>
          </w:p>
        </w:tc>
        <w:tc>
          <w:tcPr>
            <w:tcW w:w="6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 as converted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46,467,565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87,140</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5,469,921</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(62,215 )</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(55,692 )</w:t>
            </w:r>
          </w:p>
        </w:tc>
        <w:tc>
          <w:tcPr>
            <w:tcW w:w="0" w:type="dxa"/>
            <w:vAlign w:val="bottom"/>
          </w:tcPr>
          <w:p>
            <w:pPr>
              <w:spacing w:after="0"/>
              <w:rPr>
                <w:sz w:val="1"/>
                <w:szCs w:val="1"/>
                <w:color w:val="auto"/>
              </w:rPr>
            </w:pPr>
          </w:p>
        </w:tc>
      </w:tr>
      <w:tr>
        <w:trPr>
          <w:trHeight w:val="139"/>
        </w:trPr>
        <w:tc>
          <w:tcPr>
            <w:tcW w:w="29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140,545</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9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1,306,385</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10,077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acquisition of fSight</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gain resulting from change in fair</w:t>
            </w: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value of marketable securities</w:t>
            </w:r>
          </w:p>
        </w:tc>
        <w:tc>
          <w:tcPr>
            <w:tcW w:w="11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 as converted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46,467,565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87,140</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6,916,851</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17,057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(55,305 )</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(38,233 )</w:t>
            </w:r>
          </w:p>
        </w:tc>
        <w:tc>
          <w:tcPr>
            <w:tcW w:w="0" w:type="dxa"/>
            <w:vAlign w:val="bottom"/>
          </w:tcPr>
          <w:p>
            <w:pPr>
              <w:spacing w:after="0"/>
              <w:rPr>
                <w:sz w:val="1"/>
                <w:szCs w:val="1"/>
                <w:color w:val="auto"/>
              </w:rPr>
            </w:pPr>
          </w:p>
        </w:tc>
      </w:tr>
      <w:tr>
        <w:trPr>
          <w:trHeight w:val="120"/>
        </w:trPr>
        <w:tc>
          <w:tcPr>
            <w:tcW w:w="2980" w:type="dxa"/>
            <w:vAlign w:val="bottom"/>
            <w:tcBorders>
              <w:top w:val="single" w:sz="8" w:color="CFF0FC"/>
            </w:tcBorders>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Issuance of common stock upon exercise of</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right w:val="single" w:sz="8" w:color="auto"/>
            </w:tcBorders>
            <w:vMerge w:val="restart"/>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10,784</w:t>
            </w:r>
          </w:p>
        </w:tc>
        <w:tc>
          <w:tcPr>
            <w:tcW w:w="22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top w:val="single" w:sz="8" w:color="CFF0FC"/>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9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6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Forfeitures of restricted stock and restricted</w:t>
            </w: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(11,832 )</w:t>
            </w:r>
          </w:p>
        </w:tc>
        <w:tc>
          <w:tcPr>
            <w:tcW w:w="6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(91 )</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85"/>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surrendered in lieu of withholding taxes</w:t>
            </w:r>
          </w:p>
        </w:tc>
        <w:tc>
          <w:tcPr>
            <w:tcW w:w="11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9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Unrealized loss resulting from change in fair</w:t>
            </w: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(195 )</w:t>
            </w:r>
          </w:p>
        </w:tc>
        <w:tc>
          <w:tcPr>
            <w:tcW w:w="18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(195 )</w:t>
            </w:r>
          </w:p>
        </w:tc>
        <w:tc>
          <w:tcPr>
            <w:tcW w:w="0" w:type="dxa"/>
            <w:vAlign w:val="bottom"/>
          </w:tcPr>
          <w:p>
            <w:pPr>
              <w:spacing w:after="0"/>
              <w:rPr>
                <w:sz w:val="1"/>
                <w:szCs w:val="1"/>
                <w:color w:val="auto"/>
              </w:rPr>
            </w:pPr>
          </w:p>
        </w:tc>
      </w:tr>
      <w:tr>
        <w:trPr>
          <w:trHeight w:val="185"/>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value of marketable securities</w:t>
            </w:r>
          </w:p>
        </w:tc>
        <w:tc>
          <w:tcPr>
            <w:tcW w:w="11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Convertible preferred stock dividends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1,258,055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(12,581 )</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9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preferred stock upon exercise of</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193,372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warrants</w:t>
            </w: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convertible preferred stock into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in connection with the Business</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(47,918,992 )</w:t>
            </w:r>
          </w:p>
        </w:tc>
        <w:tc>
          <w:tcPr>
            <w:tcW w:w="12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(87,140 )</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47,918,992</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87,135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Combination (Note 3)</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1,491,229</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warrants</w:t>
            </w:r>
          </w:p>
        </w:tc>
        <w:tc>
          <w:tcPr>
            <w:tcW w:w="11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Purchase price adjustment in connection with the</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fSight acquisition</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Business</w:t>
            </w: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1,818,519</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Combination</w:t>
            </w:r>
          </w:p>
        </w:tc>
        <w:tc>
          <w:tcPr>
            <w:tcW w:w="11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tcBorders>
              <w:right w:val="single" w:sz="8" w:color="auto"/>
            </w:tcBorders>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(22,176 )</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(22,176 )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 as converted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58,144,543</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120,671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(90,062 )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(181 )</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-2242820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-2225675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-2242820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-2225675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-2242820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-2225675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-2242820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-2225675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-2242820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-2225675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-2242820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-2225675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-2242820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-2225675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-2242820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-2225675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3079115</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20" w:right="20" w:hanging="512"/>
        <w:spacing w:after="0" w:line="258"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the Company’s common and redeemable convertible preferred stock prior to the Business Combination (as defined in Note 1) have been retroactively restated to reflect the exchange ratio of approximately 0.233335 established in the Business Combination as described in Note 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(22,827 )</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(15,266 )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 for inventory obsolescence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preferred stock warrant and contingent shares liability</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tax benefit</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(11,147 )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(1,434 )</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Accretion of interest on marketable securities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(30,057 )</w:t>
            </w:r>
          </w:p>
        </w:tc>
      </w:tr>
      <w:tr>
        <w:trPr>
          <w:trHeight w:val="247"/>
        </w:trPr>
        <w:tc>
          <w:tcPr>
            <w:tcW w:w="7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(26,134 )</w:t>
            </w:r>
          </w:p>
        </w:tc>
      </w:tr>
      <w:tr>
        <w:trPr>
          <w:trHeight w:val="238"/>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(8,392 )</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(1,648 )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r>
      <w:tr>
        <w:trPr>
          <w:trHeight w:val="238"/>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Warranty liability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(641 )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(374 )</w:t>
            </w:r>
          </w:p>
        </w:tc>
      </w:tr>
      <w:tr>
        <w:trPr>
          <w:trHeight w:val="20"/>
        </w:trPr>
        <w:tc>
          <w:tcPr>
            <w:tcW w:w="7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(12,872 )</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(4,934 )</w:t>
            </w: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(50,221 )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fSight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(418 )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(1,510 )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Disposals of property and equipment</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280" w:type="dxa"/>
            <w:vAlign w:val="bottom"/>
          </w:tcPr>
          <w:p>
            <w:pPr>
              <w:spacing w:after="0"/>
              <w:rPr>
                <w:sz w:val="20"/>
                <w:szCs w:val="20"/>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(52,124 )</w:t>
            </w: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Convertible Promissory Note</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from Series 2022-1 Notes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(20,833 )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tax withholdings on stock options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r>
      <w:tr>
        <w:trPr>
          <w:trHeight w:val="236"/>
        </w:trPr>
        <w:tc>
          <w:tcPr>
            <w:tcW w:w="7740" w:type="dxa"/>
            <w:vAlign w:val="bottom"/>
            <w:tcBorders>
              <w:top w:val="single" w:sz="8" w:color="CFF0FC"/>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31,066</w:t>
            </w:r>
          </w:p>
        </w:tc>
        <w:tc>
          <w:tcPr>
            <w:tcW w:w="100" w:type="dxa"/>
            <w:vAlign w:val="bottom"/>
            <w:tcBorders>
              <w:top w:val="single" w:sz="8" w:color="CFF0FC"/>
            </w:tcBorders>
          </w:tcPr>
          <w:p>
            <w:pPr>
              <w:spacing w:after="0"/>
              <w:rPr>
                <w:sz w:val="20"/>
                <w:szCs w:val="20"/>
                <w:color w:val="auto"/>
              </w:rPr>
            </w:pP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(25,992 )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37,717</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-3167380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-3167380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-1917065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-1917065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-667385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6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60" w:type="dxa"/>
            <w:vAlign w:val="bottom"/>
            <w:gridSpan w:val="2"/>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7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 obtained in exchange for operating lease liabilities</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consideration paid for the acquisition of fSight</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Contingent shares liability from fSight acquisition</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6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resulting from change in fair value of marketable securities</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Net assets acquired from Roth CH Acquisition IV Co.</w:t>
            </w: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derivative note liability at issuance</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preferred stock dividends (Note 3)</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deferred issuance costs to additional paid in capital</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74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Conversion of convertible preferred stock into common stock in connection with the Business</w:t>
            </w:r>
          </w:p>
        </w:tc>
        <w:tc>
          <w:tcPr>
            <w:tcW w:w="1040" w:type="dxa"/>
            <w:vAlign w:val="bottom"/>
            <w:vMerge w:val="restart"/>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Combination (Note 3)</w:t>
            </w:r>
          </w:p>
        </w:tc>
        <w:tc>
          <w:tcPr>
            <w:tcW w:w="104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preferred stock upon exercise of preferred warrants</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-2268220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-2251075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-1934210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-1917065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-1934210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-1917065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-1574800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-1557655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-1215390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-1198245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-855345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-838200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-495935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-478790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10" w:name="page11"/>
    <w:bookmarkEnd w:id="10"/>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11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Tigo Energy, Inc. (f/k/a Roth CH Acquisition IV Co.) and subsidiaries (together, the “Company”) consists of Tigo Energy, Inc. (“Tigo”), its wholly-owned direct subsidiary: Tigo Energy MergeCo, Inc. (f/k/a Tigo Energy, Inc.) (“Legacy Tigo”), and its wholly-owned indirect subsidiaries: Tigo Energy Israel Ltd., Foresight Energy, Ltd. (“fSight”), Tigo Energy Italy SRL, Tigo Energy Systems Trading (Suzhou) and Tigo Energy Australia Pty Ltd. Prior to the consummation of the Business Combination (as defined below), the operations of the Company were conducted through Legacy Tigo. Legacy Tigo was incorporated in Delaware in 2007 and commenced operations in 2010.</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The Company is headquartered in Campbell, California with offices in Europe, Asia and the Middle East.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Material Definitive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refer to Note 3 “Merger with Roth CH Acquisition IV Co.” for additional details regarding the Business Combination.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wholly-owned subsidiaries. All intercompany balances and transactions have been eliminated in consolidation.</w:t>
      </w:r>
    </w:p>
    <w:p>
      <w:pPr>
        <w:spacing w:after="0" w:line="18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net assets of ROCG are stated at historical cost, with no goodwill or other intangible assets recorded. The consolidated assets, liabilities and results of operations prior to the Reverse Recapitalization are those of Legacy Tigo. The shares and corresponding capital amounts and earnings per share available for common stockholders, prior to the Closing Date, have been retroactively recasted as shares reflecting the exchange ratio established in the Business Combination. Please refer to Note 3 “Merger with Roth CH Acquisition IV Co.” for additional details regarding the Business Combination.</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net in the condensed consolidated statements of operations and comprehensive loss and were not material for the three and six months ended June 30, 2024, and 2023.</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June 30, 2024 and its condensed consolidated statements of operations and comprehensive loss, cash flows, and convertible preferred stock and changes stockholders’ equity (deficit) for the three and six months ended June 30, 2024, and 2023. Operating results for the three and six months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ended June 30, 2024, are not necessarily indicative of the results that may be expected for the full year ending December 31, 2024. The unaudited condensed consolidated financial statements, presented herein, do not contain all of the required disclosures under GAAP for annual consolidated financial statements. The condensed consolidated balance sheet as of December 31, 2023, has been derived from the audited consolidated balance sheet as of that date. These unaudited condensed consolidated financial statements should be read in conjunction with the audited consolidated financial statements and notes thereto included in our Annual Report on Form 10-K for the year ended December 31, 2023, which was filed with the SEC on March 21, 2024.</w:t>
      </w:r>
    </w:p>
    <w:p>
      <w:pPr>
        <w:spacing w:after="0" w:line="28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its audited consolidated financial statements for the year ended December 31, 2023, which are included in the Company’s Annual Report on Form 10-K filed with the SEC on March 21,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and liabilities and disclosure of contingent assets and liabilities as of the date of the financial statements and the reported amounts of revenues and expenses during the reporting period. The Company bases its estimates on historical information and various other assumptions that are believed to be reasonable under the circumstances. Examples of such estimates include, among other things, the valuation of share-based awards, the recoverability of long-lived assets, the assessment of intangible assets and goodwill for impairment, provisions for warranty and expected credit losses, inventory obsolescence, sales returns, future price concessions, valuation allowances and the estimated useful lives of plant and equipment and acquired intangible assets. Actual results may materially differ from these estimates. On an ongoing basis, the Company reviews its estimates to ensure that these estimates appropriately reflect changes in its business or new information as it becomes available.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In November 2023, the FASB issued </w:t>
      </w:r>
      <w:r>
        <w:rPr>
          <w:rFonts w:ascii="Times New Roman" w:cs="Times New Roman" w:eastAsia="Times New Roman" w:hAnsi="Times New Roman"/>
          <w:sz w:val="18"/>
          <w:szCs w:val="18"/>
          <w:i w:val="1"/>
          <w:iCs w:val="1"/>
          <w:color w:val="231F20"/>
        </w:rPr>
        <w:t>ASU No. 2023-07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Improvements to Reportable Segment Disclosures (Topic 280)</w:t>
      </w:r>
      <w:r>
        <w:rPr>
          <w:rFonts w:ascii="Times New Roman" w:cs="Times New Roman" w:eastAsia="Times New Roman" w:hAnsi="Times New Roman"/>
          <w:sz w:val="18"/>
          <w:szCs w:val="18"/>
          <w:color w:val="231F20"/>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We are currently evaluating the provisions of this ASU and expect to adopt them for the year ending December 31, 2024.</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In December 2023, the FASB issued </w:t>
      </w:r>
      <w:r>
        <w:rPr>
          <w:rFonts w:ascii="Times New Roman" w:cs="Times New Roman" w:eastAsia="Times New Roman" w:hAnsi="Times New Roman"/>
          <w:sz w:val="18"/>
          <w:szCs w:val="18"/>
          <w:i w:val="1"/>
          <w:iCs w:val="1"/>
          <w:color w:val="231F20"/>
        </w:rPr>
        <w:t>ASU No. 2023-09, Improvements to Income Tax Disclosures (Topic 740)</w:t>
      </w:r>
      <w:r>
        <w:rPr>
          <w:rFonts w:ascii="Times New Roman" w:cs="Times New Roman" w:eastAsia="Times New Roman" w:hAnsi="Times New Roman"/>
          <w:sz w:val="18"/>
          <w:szCs w:val="18"/>
          <w:color w:val="231F20"/>
        </w:rPr>
        <w:t>.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Early adoption is also permitted for annual financial statements that have not yet been issued or made available for issuance. We are currently evaluating the provisions of this ASU and expect to adopt them for the year ending December 31, 2025.</w:t>
      </w:r>
    </w:p>
    <w:p>
      <w:pPr>
        <w:spacing w:after="0" w:line="1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March 2024, the SEC adopted final rules that would require registrants to provide certain climate-related information in their registration statements and annual reports. The new rules require information about a registrant's climate-related risks that are reasonably likely to have a material impact on its business, results of operations, or financial condition. The rules also require disclosure of certain climate-related financial metrics in registrant’s audited financial statements, and, for certain registrants, disclosure regarding such registrant’s greenhouse gas emissions. In April 2024, the SEC voluntarily stayed the rules pending completion of a judicial review that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is currently pending in the U.S. Court of Appeals for the Eighth Circuit. The Company is currently evaluating the impact of these rules on the Company’s financial statements and related disclosures.</w:t>
      </w:r>
    </w:p>
    <w:p>
      <w:pPr>
        <w:spacing w:after="0" w:line="26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with Roth CH Acquisition IV Co.</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ROCG was treated as the “acquired” company and Legacy Tigo was considered the “acquirer” for financial reporting purposes. This determination was primarily based on Legacy Tigo stockholders comprising a majority of the voting power of the Company, Legacy Tigo’s senior management comprising substantially all of the senior management of the Company, Legacy Tigo’s relative size compared to ROCG, and Legacy Tigo’s operations prior to the acquisition comprising the only ongoing operations of the Company. Accordingly, for accounting purposes, the financial statements of the Company represent a continuation of the financial statements of Legacy Tigo with the Business Combination being treated as the equivalent of Legacy Tigo issuing stock for the net assets of ROCG, accompanied by a recapitalization. The net assets of ROCG are stated at historical costs, with no goodwill or other intangible assets recorded. Operations prior to the Business Combination are presented as those of Legacy Tigo. All periods prior to the Business Combination have been retrospectively adjusted using the exchange ratio established in the Business Combination of 0.233335 (the “Exchange Ratio”) to affect the reverse recapitalization.</w:t>
      </w:r>
    </w:p>
    <w:p>
      <w:pPr>
        <w:spacing w:after="0" w:line="19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part of the reverse recapitalization, Legacy Tigo acquired $2.2 million of cash, $0.6 million of prepaid expenses and insurance and assumed $3,400 of accrued expenses and $61,000 of income tax payable. The Company incurred $6.1 million in transaction costs relating to the Business Combination, which were charged directly to additional paid-in capital to the extent of cash received. Transaction costs in excess of cash acquired of $3.9 million were charged to general and administrative expenses.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Immediately prior to the closing of the Business Combination:</w:t>
      </w:r>
    </w:p>
    <w:p>
      <w:pPr>
        <w:spacing w:after="0" w:line="117" w:lineRule="exact"/>
        <w:rPr>
          <w:sz w:val="20"/>
          <w:szCs w:val="20"/>
          <w:color w:val="auto"/>
        </w:rPr>
      </w:pPr>
    </w:p>
    <w:p>
      <w:pPr>
        <w:jc w:val="both"/>
        <w:ind w:left="1020" w:hanging="504"/>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Legacy Tigo’s outstanding Series E, Series D, Series C-1, Series C, Series B-4, Series B-3, Series B-2, Series B-1, Series A-4, Series A-3, Series A-2, and Series A-1 convertible preferred stock were converted into an equivalent number of shares of Legacy Tigo common stock on a one-to-one basis and additional shares of Legacy Tigo common stock were issued to settle the accumulated dividend to the Series E and Series D convertible preferred stockholders of $12.6 million;</w:t>
      </w:r>
    </w:p>
    <w:p>
      <w:pPr>
        <w:spacing w:after="0" w:line="7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warrants net of exercise were converted into an equivalent number of shares of Legacy Tigo common stock on a one-to-one basis;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preferred warrants net of exercise were converted into an equivalent number of shares of Legacy Tigo preferred stock on a one-to-one basis, and subsequently converted into an equivalent number of shares of Legacy Tigo common stock on a one-to-one basis.</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At the effective time of the Business Combination, each share of Legacy Tigo common stock issued and outstanding immediately prior to the closing (including the shares of Legacy Tigo common stock issued in connection with the foregoing) were canceled and converted into the right to receive a pro rata portion of the merger consideration based on the Exchange Ratio.</w:t>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connection with the Business Combination, the Company issued 1,700,498 shares of Common Stock to former stockholders of ROCG and 118,021 shares of Common Stock to Roth Capital Partners, LLC.</w:t>
      </w:r>
    </w:p>
    <w:p>
      <w:pPr>
        <w:spacing w:after="0" w:line="163"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Immediately following the Business Combination, there were 58,144,543 shares of Common Stock issued and outstanding, options to purchase an aggregate of 4,358,301 shares of Common Stock and 5,768,750 warrants outstanding to purchase shares of Common Stock.</w:t>
      </w:r>
    </w:p>
    <w:p>
      <w:pPr>
        <w:spacing w:after="0" w:line="266"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Foresight Energy, Ltd.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25, 2023 (“Acquisition Closing Date”), Legacy Tigo acquired 100% of the equity interests of fSight. The results of fSight’s operations have been included in the condensed consolidated financial statements since the Acquisition Closing Date. fSight primarily focuses on developing and marketing a software as a service platform, based on artificial intelligence for the smart management of electrical energy. The acquisition expands the Company’s ability to leverage energy consumption and production data for solar energy producers, adding a prediction platform that provides actionable system performance data, from the grid down to the module level.</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Under the terms of the purchase agreement, total consideration amounted to $13.2 million which consisted of 5,598,751 shares of Legacy Tigo’s common stock (which represents 1,306,385 shares of Common Stock on an as-converted basis as a result of the Business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Combination) issued at closing with a fair value of approximately $11.0 million, 737,233 shares of Legacy Tigo’s common stock (which represents 172,022 shares of Common Stock on an as-converted basis as a result of the Business Combination) with a fair value of approximately $1.4 million to be issued 12 months from closing and 368,617 shares of Legacy Tigo’s common stock (which represents 86,011 shares of Common Stock on an as-converted basis as a result of the Business Combination) with a fair value of approximately $0.7 million to be issued 18 months from closing (collectively with the shares to be issued at 12 months “Contingent Shares”). In addition to the consideration in the purchase agreement, there is an additional $0.5 million in consideration related to a loan that the Company issued to fSight prior to the Acquisition Closing Date, for a total consideration transferred of $13.7 million. The loan payable was deemed settled immediately following the Acquisition Closing Date.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purchase agreement, the Contingent Shares are subject to adjustment based on certain indemnification obligations, liabilities or settlements that may arise during the contingency period, which ends 18 months following the Acquisition Closing Date. During the year ended December 31, 2023, there was an adjustment recorded against the Contingent Shares related to an unrecorded liability that was not present as of the opening balance sheet date of January 25, 2023, and the number of Contingent Shares was adjusted downward by 5,745 shares to reflect this change. As of December 31, 2023, there was a total of up to 252,288 Contingent Shares that may be issued pursuant to the terms of the purchase agreement.</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Contingent Shares were recorded as a liability at a fair value of approximately $2.1 million on the Acquisition Closing Date based on the fair value of Legacy Tigo’s common stock at the Acquisition Closing Date. The contingent shares liability is recorded in accrued expenses and other current liabilities within the condensed consolidated balance sheet.</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25, 2024, consistent with the terms of the purchase agreement, the Company issued the 12-month tranche of Contingent Shares, 166,271 shares of its Common Stock, to certain former equity holders of fSight. At January 25, 2024, the liability was revalued to $0.4 million based upon the Company’s Common Stock fair value per share at that date. A mark-to-market gain of $0.2 million was recorded upon the remeasurement at January 25, 2024. Upon issuance of the 12-month tranche of Contingent Shares on January 25, 2024, the Company reduced the liability by the fair value associated with the 12-month tranche of Contingent Shares by $0.2 million and subsequently recorded an increase to additional paid-in capital on the Company’s condensed consolidated balance sheet. As of June 30, 2024, there was a total of up to 86,017 Contingent Shares that may be issued pursuant to the terms of the purchase agreement.</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June 30, 2024, the remaining liability was revalued to $0.1 million based upon the Company’s Common Stock fair value per share on June 28, 2024, the last trading day of the reporting period. For the three months ended June 30, 2024, and 2023, the Company recognized a $40,000 and $2.2 million mark-to-market expense, respectively. For the six months ended June 30, 2024, and 2023, the Company recognized a $0.2 million mark-to-market gain and $2.4 million mark-to-market expense, respectively. Mark-to-market expense and gains are recorded in the change in fair value of preferred stock warrant and contingent share liability financial statement line item within the condensed consolidated statement of operations and comprehensive loss for the three and six months ended June 30, 2024, and 2023.</w:t>
      </w:r>
    </w:p>
    <w:p>
      <w:pPr>
        <w:spacing w:after="0" w:line="1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was accounted for as a business combination pursuant to </w:t>
      </w:r>
      <w:r>
        <w:rPr>
          <w:rFonts w:ascii="Times New Roman" w:cs="Times New Roman" w:eastAsia="Times New Roman" w:hAnsi="Times New Roman"/>
          <w:sz w:val="18"/>
          <w:szCs w:val="18"/>
          <w:i w:val="1"/>
          <w:iCs w:val="1"/>
          <w:color w:val="auto"/>
        </w:rPr>
        <w:t>ASC Topic 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using the acquisition method of accounting and in conjunction with the acquisition, Legacy Tigo recognized $47,000 and $0.2 million of acquisition-related costs during the three and six months ended June 30, 2023. The Company did not incur any expense associated with acquisition-related costs during the three and six months ended June 30, 2024. The acquisition-related costs, which were expensed as incurred, are recorded in general and administrative expenses on the condensed consolidated statement of operations and comprehensive loss.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assets acquired and liabilities assumed were recorded at fair value as follows (in thousands):</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9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common stock issued</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contingent shares</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Deemed settlement of loan payable</w:t>
            </w: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consideration</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9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Developed technology</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-2054225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 (Unaudited)</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following table presents supplemental pro-forma information for the three and six months ended June 30, 2023, as if the merger with fSight had occurred on January 1, 2022. These amounts have been calculated after applying the Company’s accounting policies and are based upon currently available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68,894</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(22,322 )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(15,412 )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of Operating Results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supplemental pro-forma information on the net revenue and net loss attributable to fSight included within the Company’s condensed consolidated statement of operations and comprehensive loss.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(299 )</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attributable to common stockholders by the weighted-average number of shares of common stock outstanding during each period, without consideration for potential dilutive shares of common stock.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two-class method, net loss for the three and six months ended June 30, 2023, is adjusted by the difference between the fair value of consideration transferred and the carrying amount of convertible preferred stock during periods where the Company redeems its convertible preferred stock. The remaining earnings (undistributed earnings) are allocated to common stock and each series of convertible preferred stock to the extent that each preferred security may share in earnings as if all of the earnings for the period had been distributed. The total earnings allocated to common stock are then divided by the number of outstanding shares to which the earnings are allocated to determine the earnings per share. The two-class method is not applicable during periods with a net loss, as the holders of the convertible preferred stock have no obligation to fund losses. In periods in which the Company reports a net loss, diluted</w:t>
      </w:r>
    </w:p>
    <w:p>
      <w:pPr>
        <w:sectPr>
          <w:pgSz w:w="11900" w:h="16838" w:orient="portrait"/>
          <w:cols w:equalWidth="0" w:num="1">
            <w:col w:w="11240"/>
          </w:cols>
          <w:pgMar w:left="320" w:top="764"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loss per share is the same as basic net loss per share since dilutive shares are not assumed to have been issued if their effect is antidilutive. As a result, for the periods in which the Company experienced a net loss, the weighted-average shares used to calculate both basic and diluted net loss per share are the same.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to common stockholders: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5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per common share calculation:</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(22,176 )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(22,827 )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(15,266 )</w:t>
            </w:r>
          </w:p>
        </w:tc>
      </w:tr>
      <w:tr>
        <w:trPr>
          <w:trHeight w:val="243"/>
        </w:trPr>
        <w:tc>
          <w:tcPr>
            <w:tcW w:w="5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Undistributed earnings to preferred stock stockholders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(1,248 )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(3,399 )</w:t>
            </w:r>
          </w:p>
        </w:tc>
      </w:tr>
      <w:tr>
        <w:trPr>
          <w:trHeight w:val="20"/>
        </w:trPr>
        <w:tc>
          <w:tcPr>
            <w:tcW w:w="5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(23,424 )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(22,827 )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(18,665 )</w:t>
            </w:r>
          </w:p>
        </w:tc>
      </w:tr>
      <w:tr>
        <w:trPr>
          <w:trHeight w:val="243"/>
        </w:trPr>
        <w:tc>
          <w:tcPr>
            <w:tcW w:w="5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 basic</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60,363,680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27,750,374</w:t>
            </w:r>
          </w:p>
        </w:tc>
        <w:tc>
          <w:tcPr>
            <w:tcW w:w="4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59,874,991</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17,174,936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r>
      <w:tr>
        <w:trPr>
          <w:trHeight w:val="20"/>
        </w:trPr>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loss per common share calculation: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basic</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(11,321 )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(23,424 )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(22,827 )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(18,665 )</w:t>
            </w:r>
          </w:p>
        </w:tc>
      </w:tr>
      <w:tr>
        <w:trPr>
          <w:trHeight w:val="20"/>
        </w:trPr>
        <w:tc>
          <w:tcPr>
            <w:tcW w:w="5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(23,424 )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(22,827 )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(18,665 )</w:t>
            </w:r>
          </w:p>
        </w:tc>
      </w:tr>
      <w:tr>
        <w:trPr>
          <w:trHeight w:val="236"/>
        </w:trPr>
        <w:tc>
          <w:tcPr>
            <w:tcW w:w="54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 basic</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60,363,680</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27,750,374</w:t>
            </w:r>
          </w:p>
        </w:tc>
        <w:tc>
          <w:tcPr>
            <w:tcW w:w="4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59,874,991</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17,174,936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 diluted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60,363,680</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27,750,374</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59,874,991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17,174,936</w:t>
            </w:r>
          </w:p>
        </w:tc>
        <w:tc>
          <w:tcPr>
            <w:tcW w:w="100" w:type="dxa"/>
            <w:vAlign w:val="bottom"/>
          </w:tcPr>
          <w:p>
            <w:pPr>
              <w:spacing w:after="0"/>
              <w:rPr>
                <w:sz w:val="20"/>
                <w:szCs w:val="20"/>
                <w:color w:val="auto"/>
              </w:rPr>
            </w:pPr>
          </w:p>
        </w:tc>
      </w:tr>
      <w:tr>
        <w:trPr>
          <w:trHeight w:val="256"/>
        </w:trPr>
        <w:tc>
          <w:tcPr>
            <w:tcW w:w="5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(0.84 )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(0.38 )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-1643380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-1643380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-1643380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-1326515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-1326515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-1326515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-675640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-675640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-675640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-350520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-350520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-350520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excluded the effect of the below elements from our calculation of diluted loss per share, as their inclusion would have been anti-dilutive. These amounts represent the number of instruments outstanding at the end of the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246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7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2460" w:type="dxa"/>
            <w:vAlign w:val="bottom"/>
            <w:gridSpan w:val="3"/>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5,768,750</w:t>
            </w:r>
          </w:p>
        </w:tc>
        <w:tc>
          <w:tcPr>
            <w:tcW w:w="100" w:type="dxa"/>
            <w:vAlign w:val="bottom"/>
            <w:shd w:val="clear" w:color="auto" w:fill="CFF0FC"/>
          </w:tcPr>
          <w:p>
            <w:pPr>
              <w:spacing w:after="0"/>
              <w:rPr>
                <w:sz w:val="20"/>
                <w:szCs w:val="20"/>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3,267,452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4,649,864</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5,305,861</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5,454,545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8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8,573,313</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15,873,159</w:t>
            </w:r>
          </w:p>
        </w:tc>
        <w:tc>
          <w:tcPr>
            <w:tcW w:w="10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1F1F"/>
        </w:rPr>
        <w:t>Fair Value Measurements</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on a recurring basis using a hierarchy that prioritizes the inputs to valuation techniques used to measure fair value. Authoritative guidance establishes three levels of the fair value hierarchy as follows:</w:t>
      </w:r>
    </w:p>
    <w:p>
      <w:pPr>
        <w:spacing w:after="0" w:line="161" w:lineRule="exact"/>
        <w:rPr>
          <w:sz w:val="20"/>
          <w:szCs w:val="20"/>
          <w:color w:val="auto"/>
        </w:rPr>
      </w:pPr>
    </w:p>
    <w:p>
      <w:pPr>
        <w:ind w:left="400"/>
        <w:spacing w:after="0"/>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Quoted market prices in active markets for identical assets or liabilities;</w:t>
      </w:r>
    </w:p>
    <w:p>
      <w:pPr>
        <w:spacing w:after="0" w:line="130" w:lineRule="exact"/>
        <w:rPr>
          <w:sz w:val="20"/>
          <w:szCs w:val="20"/>
          <w:color w:val="auto"/>
        </w:rPr>
      </w:pPr>
    </w:p>
    <w:p>
      <w:pPr>
        <w:ind w:left="1160" w:right="240" w:hanging="756"/>
        <w:spacing w:after="0" w:line="281" w:lineRule="auto"/>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Quoted prices for similar instruments in active markets; quoted prices for identical or similar instruments in markets that are not active; and model-derived valuations in which significant inputs and significant value drivers are observable in active markets; and</w:t>
      </w:r>
    </w:p>
    <w:p>
      <w:pPr>
        <w:spacing w:after="0" w:line="68" w:lineRule="exact"/>
        <w:rPr>
          <w:sz w:val="20"/>
          <w:szCs w:val="20"/>
          <w:color w:val="auto"/>
        </w:rPr>
      </w:pPr>
    </w:p>
    <w:p>
      <w:pPr>
        <w:ind w:left="1160" w:right="240" w:hanging="756"/>
        <w:spacing w:after="0" w:line="281" w:lineRule="auto"/>
        <w:tabs>
          <w:tab w:leader="none" w:pos="11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Fair value measurements derived from valuation techniques in which one or more significant inputs or significant value drivers are unobservable.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securities</w:t>
            </w:r>
          </w:p>
        </w:tc>
        <w:tc>
          <w:tcPr>
            <w:tcW w:w="1220" w:type="dxa"/>
            <w:vAlign w:val="bottom"/>
            <w:shd w:val="clear" w:color="auto" w:fill="CFF0FC"/>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shares liability from fSight acquisition</w:t>
            </w:r>
          </w:p>
        </w:tc>
        <w:tc>
          <w:tcPr>
            <w:tcW w:w="1220" w:type="dxa"/>
            <w:vAlign w:val="bottom"/>
            <w:shd w:val="clear" w:color="auto" w:fill="CFF0FC"/>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1220" w:type="dxa"/>
            <w:vAlign w:val="bottom"/>
            <w:shd w:val="clear" w:color="auto" w:fill="CFF0FC"/>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20" w:type="dxa"/>
            <w:vAlign w:val="bottom"/>
            <w:shd w:val="clear" w:color="auto" w:fill="CFF0FC"/>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19,489</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agency securities</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6"/>
        </w:trPr>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Contingent shares liability from fSight acquisition</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and six months ended June 30, 2024, there were no transfers between Level 1, Level 2 and Level 3.</w:t>
      </w:r>
    </w:p>
    <w:p>
      <w:pPr>
        <w:spacing w:after="0" w:line="22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following is a summary of the changes in fair value of the Company’s marketable securities as of June 30, 2024, and December 31, 2023,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marketable securities:</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2"/>
              </w:rPr>
              <w:t>(21 )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4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2"/>
              </w:rPr>
              <w:t>(23 )</w:t>
            </w: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FF0FC"/>
          </w:tcPr>
          <w:p>
            <w:pPr>
              <w:spacing w:after="0"/>
              <w:rPr>
                <w:sz w:val="20"/>
                <w:szCs w:val="20"/>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470"/>
        </w:trPr>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3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marketable securities:</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2"/>
              </w:rPr>
              <w:t>(52 )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4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26,861</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2"/>
              </w:rPr>
              <w:t>(59 )</w:t>
            </w: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100" w:type="dxa"/>
            <w:vAlign w:val="bottom"/>
            <w:shd w:val="clear" w:color="auto" w:fill="CFF0FC"/>
          </w:tcPr>
          <w:p>
            <w:pPr>
              <w:spacing w:after="0"/>
              <w:rPr>
                <w:sz w:val="20"/>
                <w:szCs w:val="20"/>
                <w:color w:val="auto"/>
              </w:rPr>
            </w:pPr>
          </w:p>
        </w:tc>
      </w:tr>
      <w:tr>
        <w:trPr>
          <w:trHeight w:val="236"/>
        </w:trPr>
        <w:tc>
          <w:tcPr>
            <w:tcW w:w="44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FF0FC"/>
          </w:tcPr>
          <w:p>
            <w:pPr>
              <w:spacing w:after="0"/>
              <w:rPr>
                <w:sz w:val="21"/>
                <w:szCs w:val="2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20"/>
                <w:szCs w:val="20"/>
                <w:color w:val="auto"/>
              </w:rPr>
            </w:pPr>
          </w:p>
        </w:tc>
      </w:tr>
      <w:tr>
        <w:trPr>
          <w:trHeight w:val="240"/>
        </w:trPr>
        <w:tc>
          <w:tcPr>
            <w:tcW w:w="440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gridSpan w:val="2"/>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2"/>
              </w:rPr>
              <w:t>(66 )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00" w:type="dxa"/>
            <w:vAlign w:val="bottom"/>
          </w:tcPr>
          <w:p>
            <w:pPr>
              <w:spacing w:after="0"/>
              <w:rPr>
                <w:sz w:val="20"/>
                <w:szCs w:val="20"/>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-2045970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-2045970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-2045970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-829945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-829945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-829945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-513080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-513080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-513080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-187960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-187960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all available-for-sale marketable securities consisted of investments that mature within one year.</w:t>
      </w:r>
    </w:p>
    <w:p>
      <w:pPr>
        <w:sectPr>
          <w:pgSz w:w="11900" w:h="16838" w:orient="portrait"/>
          <w:cols w:equalWidth="0" w:num="1">
            <w:col w:w="11240"/>
          </w:cols>
          <w:pgMar w:left="320" w:top="764"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marketable securities, accounts receivable, accounts payable, and customer deposits approximate fair value due to their short-term nature. As of June 30, 2024, the fair value and carrying value of the Company’s Convertible Promissory Note (Note 9) was $35.8 million and $36.0 million, respectively. As of December 31, 2023, the fair value and carrying value of the Company’s Series 2022-1 Notes was $58.1 million and $31.6 million, respectively. The estimated fair value for the Company’s Convertible Promissory Note was based on discounted expected future cash flows using prevailing interest rates which are Level 3 inputs under the fair value hierarchy.</w:t>
      </w:r>
    </w:p>
    <w:p>
      <w:pPr>
        <w:spacing w:after="0" w:line="28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Net Revenue</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sells its products in the Americas (North and South America), EMEA (Europe, Middle East, and Africa), and APAC (Asia-Pacific) regions.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net revenue by major geographic region: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3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55,096</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95,355</w:t>
            </w:r>
          </w:p>
        </w:tc>
        <w:tc>
          <w:tcPr>
            <w:tcW w:w="100" w:type="dxa"/>
            <w:vAlign w:val="bottom"/>
            <w:shd w:val="clear" w:color="auto" w:fill="CFF0FC"/>
          </w:tcPr>
          <w:p>
            <w:pPr>
              <w:spacing w:after="0"/>
              <w:rPr>
                <w:sz w:val="20"/>
                <w:szCs w:val="20"/>
                <w:color w:val="auto"/>
              </w:rPr>
            </w:pPr>
          </w:p>
        </w:tc>
      </w:tr>
      <w:tr>
        <w:trPr>
          <w:trHeight w:val="23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100" w:type="dxa"/>
            <w:vAlign w:val="bottom"/>
          </w:tcPr>
          <w:p>
            <w:pPr>
              <w:spacing w:after="0"/>
              <w:rPr>
                <w:sz w:val="20"/>
                <w:szCs w:val="20"/>
                <w:color w:val="auto"/>
              </w:rPr>
            </w:pPr>
          </w:p>
        </w:tc>
      </w:tr>
      <w:tr>
        <w:trPr>
          <w:trHeight w:val="243"/>
        </w:trPr>
        <w:tc>
          <w:tcPr>
            <w:tcW w:w="3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68,826</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118,884</w:t>
            </w:r>
          </w:p>
        </w:tc>
        <w:tc>
          <w:tcPr>
            <w:tcW w:w="100" w:type="dxa"/>
            <w:vAlign w:val="bottom"/>
          </w:tcPr>
          <w:p>
            <w:pPr>
              <w:spacing w:after="0"/>
              <w:rPr>
                <w:sz w:val="20"/>
                <w:szCs w:val="20"/>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-187960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-187960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-187960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deferred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4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330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3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FF0FC"/>
          </w:tcPr>
          <w:p>
            <w:pPr>
              <w:spacing w:after="0"/>
              <w:rPr>
                <w:sz w:val="20"/>
                <w:szCs w:val="20"/>
                <w:color w:val="auto"/>
              </w:rPr>
            </w:pPr>
          </w:p>
        </w:tc>
      </w:tr>
      <w:tr>
        <w:trPr>
          <w:trHeight w:val="23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w:t>
            </w:r>
          </w:p>
        </w:tc>
        <w:tc>
          <w:tcPr>
            <w:tcW w:w="100" w:type="dxa"/>
            <w:vAlign w:val="bottom"/>
          </w:tcPr>
          <w:p>
            <w:pPr>
              <w:spacing w:after="0"/>
              <w:rPr>
                <w:sz w:val="20"/>
                <w:szCs w:val="20"/>
                <w:color w:val="auto"/>
              </w:rPr>
            </w:pPr>
          </w:p>
        </w:tc>
      </w:tr>
      <w:tr>
        <w:trPr>
          <w:trHeight w:val="243"/>
        </w:trPr>
        <w:tc>
          <w:tcPr>
            <w:tcW w:w="3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4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(3,021 )</w:t>
            </w:r>
          </w:p>
        </w:tc>
        <w:tc>
          <w:tcPr>
            <w:tcW w:w="4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(11,956 )</w:t>
            </w:r>
          </w:p>
        </w:tc>
        <w:tc>
          <w:tcPr>
            <w:tcW w:w="4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(4,437 )</w:t>
            </w: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(23,668 )</w:t>
            </w:r>
          </w:p>
        </w:tc>
      </w:tr>
      <w:tr>
        <w:trPr>
          <w:trHeight w:val="236"/>
        </w:trPr>
        <w:tc>
          <w:tcPr>
            <w:tcW w:w="36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3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8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top w:val="single" w:sz="8" w:color="CFF0FC"/>
            </w:tcBorders>
          </w:tcPr>
          <w:p>
            <w:pPr>
              <w:spacing w:after="0"/>
              <w:rPr>
                <w:sz w:val="20"/>
                <w:szCs w:val="20"/>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-187960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-187960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the Company expects to recognize $1.0 million from remaining performance obligations over a weighted average term of 4.4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06"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Company recognized approximately $0.3 million and $0.5 million in revenue that was included in the beginning contract liabilities balance during the three and six months ended June 30, 2024, respectively. The Company recognized approximately $0.2 million and $0.9 million in revenue that was included in the beginning contract liabilities balance during the three and six months ended June 30, 2023,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product warranty liability: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liability, beginning of the period</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shd w:val="clear" w:color="auto" w:fill="CFF0FC"/>
          </w:tcPr>
          <w:p>
            <w:pPr>
              <w:spacing w:after="0"/>
              <w:rPr>
                <w:sz w:val="20"/>
                <w:szCs w:val="20"/>
                <w:color w:val="auto"/>
              </w:rPr>
            </w:pPr>
          </w:p>
        </w:tc>
      </w:tr>
      <w:tr>
        <w:trPr>
          <w:trHeight w:val="238"/>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 for warranty issued during period</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20"/>
                <w:szCs w:val="20"/>
                <w:color w:val="auto"/>
              </w:rPr>
            </w:pPr>
          </w:p>
        </w:tc>
      </w:tr>
      <w:tr>
        <w:trPr>
          <w:trHeight w:val="247"/>
        </w:trPr>
        <w:tc>
          <w:tcPr>
            <w:tcW w:w="4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estimate</w:t>
            </w:r>
          </w:p>
        </w:tc>
        <w:tc>
          <w:tcPr>
            <w:tcW w:w="10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(177 )</w:t>
            </w: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(374 )</w:t>
            </w:r>
          </w:p>
        </w:tc>
        <w:tc>
          <w:tcPr>
            <w:tcW w:w="10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(361 )</w:t>
            </w:r>
          </w:p>
        </w:tc>
      </w:tr>
      <w:tr>
        <w:trPr>
          <w:trHeight w:val="238"/>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0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(75 )</w:t>
            </w:r>
          </w:p>
        </w:tc>
        <w:tc>
          <w:tcPr>
            <w:tcW w:w="10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(112 )</w:t>
            </w:r>
          </w:p>
        </w:tc>
        <w:tc>
          <w:tcPr>
            <w:tcW w:w="10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(169 )</w:t>
            </w:r>
          </w:p>
        </w:tc>
        <w:tc>
          <w:tcPr>
            <w:tcW w:w="10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(209 )</w:t>
            </w:r>
          </w:p>
        </w:tc>
      </w:tr>
      <w:tr>
        <w:trPr>
          <w:trHeight w:val="276"/>
        </w:trPr>
        <w:tc>
          <w:tcPr>
            <w:tcW w:w="4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Warranty liability, end of the period</w:t>
            </w:r>
          </w:p>
        </w:tc>
        <w:tc>
          <w:tcPr>
            <w:tcW w:w="102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Balance Sheet Information</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Selected financial data as of the dates presented below is as follows (in thousands, except useful life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Inventory</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4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1680" w:type="dxa"/>
            <w:vAlign w:val="bottom"/>
            <w:gridSpan w:val="4"/>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240" w:type="dxa"/>
            <w:vAlign w:val="bottom"/>
            <w:tcBorders>
              <w:bottom w:val="single" w:sz="8" w:color="CFF0FC"/>
            </w:tcBorders>
            <w:gridSpan w:val="3"/>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51,311</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960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The inventory reserve was $1.4 million and $1.0 million as of June 30, 2024, and December 31, 2023, respectively.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160" w:type="dxa"/>
            <w:vAlign w:val="bottom"/>
          </w:tcPr>
          <w:p>
            <w:pPr>
              <w:spacing w:after="0"/>
              <w:rPr>
                <w:sz w:val="24"/>
                <w:szCs w:val="24"/>
                <w:color w:val="auto"/>
              </w:rPr>
            </w:pPr>
          </w:p>
        </w:tc>
        <w:tc>
          <w:tcPr>
            <w:tcW w:w="1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4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FF0FC"/>
          </w:tcPr>
          <w:p>
            <w:pPr>
              <w:spacing w:after="0"/>
              <w:rPr>
                <w:sz w:val="20"/>
                <w:szCs w:val="20"/>
                <w:color w:val="auto"/>
              </w:rPr>
            </w:pPr>
          </w:p>
        </w:tc>
        <w:tc>
          <w:tcPr>
            <w:tcW w:w="15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5,959</w:t>
            </w:r>
          </w:p>
        </w:tc>
        <w:tc>
          <w:tcPr>
            <w:tcW w:w="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1"/>
                <w:szCs w:val="21"/>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3 - 6 years</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7,487</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3,191</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-2028825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-2011680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recorded depreciation expense of $0.3 million and $0.2 million, respectively, in the condensed consolidated statements of operations and comprehensive loss. For the six months ended June 30, 2024, and 2023 the Company recorded depreciation expense of $0.5 million and $0.4 million, respectively, in the condensed consolidated statements of operations and comprehensive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Accrued expenses and other current liabilities</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5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12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warehouse and freight</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Accrued other</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current liabilities</w:t>
            </w:r>
            <w:r>
              <w:rPr>
                <w:rFonts w:ascii="Times New Roman" w:cs="Times New Roman" w:eastAsia="Times New Roman" w:hAnsi="Times New Roman"/>
                <w:sz w:val="24"/>
                <w:szCs w:val="24"/>
                <w:color w:val="auto"/>
                <w:vertAlign w:val="superscript"/>
              </w:rPr>
              <w:t>(2)</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6"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Accrued other as of June 30, 2024, and December 31, 2023, primarily consist of accrued expenses related to legal expense, insurance expense and sales discounts.</w:t>
      </w:r>
    </w:p>
    <w:p>
      <w:pPr>
        <w:spacing w:after="0" w:line="74" w:lineRule="exact"/>
        <w:rPr>
          <w:rFonts w:ascii="Times New Roman" w:cs="Times New Roman" w:eastAsia="Times New Roman" w:hAnsi="Times New Roman"/>
          <w:sz w:val="19"/>
          <w:szCs w:val="19"/>
          <w:color w:val="auto"/>
          <w:vertAlign w:val="superscript"/>
        </w:rPr>
      </w:pPr>
    </w:p>
    <w:p>
      <w:pPr>
        <w:ind w:left="520" w:right="20" w:hanging="512"/>
        <w:spacing w:after="0" w:line="208" w:lineRule="auto"/>
        <w:tabs>
          <w:tab w:leader="none" w:pos="5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current liabilities as of June 30, 2024, and December 31, 2023, primarily consist of the contingent shares’ liability related to the acquisition of fSight in Q1 2023. See Note 4 for additional information.</w:t>
      </w:r>
    </w:p>
    <w:p>
      <w:pPr>
        <w:sectPr>
          <w:pgSz w:w="11900" w:h="16838" w:orient="portrait"/>
          <w:cols w:equalWidth="0" w:num="1">
            <w:col w:w="11240"/>
          </w:cols>
          <w:pgMar w:left="320" w:top="764" w:right="3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balance</w:t>
            </w:r>
          </w:p>
        </w:tc>
        <w:tc>
          <w:tcPr>
            <w:tcW w:w="7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4,011</w:t>
            </w:r>
          </w:p>
        </w:tc>
        <w:tc>
          <w:tcPr>
            <w:tcW w:w="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charges to (recovery) or expense</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(1,301 )</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4"/>
        </w:trPr>
        <w:tc>
          <w:tcPr>
            <w:tcW w:w="70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ending balance</w:t>
            </w:r>
          </w:p>
        </w:tc>
        <w:tc>
          <w:tcPr>
            <w:tcW w:w="580" w:type="dxa"/>
            <w:vAlign w:val="bottom"/>
            <w:tcBorders>
              <w:top w:val="single" w:sz="8" w:color="CFF0FC"/>
            </w:tcBorders>
            <w:gridSpan w:val="3"/>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2,570</w:t>
            </w:r>
          </w:p>
        </w:tc>
        <w:tc>
          <w:tcPr>
            <w:tcW w:w="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8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20" w:type="dxa"/>
            <w:vAlign w:val="bottom"/>
            <w:vMerge w:val="continue"/>
          </w:tcPr>
          <w:p>
            <w:pPr>
              <w:spacing w:after="0"/>
              <w:rPr>
                <w:sz w:val="24"/>
                <w:szCs w:val="24"/>
                <w:color w:val="auto"/>
              </w:rPr>
            </w:pPr>
          </w:p>
        </w:tc>
        <w:tc>
          <w:tcPr>
            <w:tcW w:w="6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6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2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(13,960 )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(18,430 )</w:t>
            </w:r>
          </w:p>
        </w:tc>
        <w:tc>
          <w:tcPr>
            <w:tcW w:w="0" w:type="dxa"/>
            <w:vAlign w:val="bottom"/>
          </w:tcPr>
          <w:p>
            <w:pPr>
              <w:spacing w:after="0"/>
              <w:rPr>
                <w:sz w:val="1"/>
                <w:szCs w:val="1"/>
                <w:color w:val="auto"/>
              </w:rPr>
            </w:pPr>
          </w:p>
        </w:tc>
      </w:tr>
      <w:tr>
        <w:trPr>
          <w:trHeight w:val="276"/>
        </w:trPr>
        <w:tc>
          <w:tcPr>
            <w:tcW w:w="220" w:type="dxa"/>
            <w:vAlign w:val="bottom"/>
            <w:tcBorders>
              <w:bottom w:val="single" w:sz="8" w:color="CFF0FC"/>
            </w:tcBorders>
            <w:shd w:val="clear" w:color="auto" w:fill="CFF0FC"/>
          </w:tcPr>
          <w:p>
            <w:pPr>
              <w:spacing w:after="0"/>
              <w:rPr>
                <w:sz w:val="24"/>
                <w:szCs w:val="24"/>
                <w:color w:val="auto"/>
              </w:rPr>
            </w:pPr>
          </w:p>
        </w:tc>
        <w:tc>
          <w:tcPr>
            <w:tcW w:w="68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debt, net of unamortized debt discount and issuance costs</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2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-1609090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recorded amortization of $2.2 million and $1.0 million, respectively, to interest expense pertaining to debt discount and issuance costs. During the six months ended June 30, 2024, and 2023, the Company recorded amortization of $4.5 million and $1.0 million, respectively, to interest expense pertaining to debt discount and issuance costs. The amortization associated with the Convertible Promissory Note, primarily consists of the debt discount that was recorded as a result of the bifurcation of the conversion option at the time of the Business Combination. See below in this note for further information on the conversion option bifurcation for the Convertible Promissory Note, as defined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9, 2023, the Company entered into the Note Purchase Agreement (“Note Purchase Agreement”) with L1 Energy Capital Management S.a.r.l. (“L1 Energy”) pursuant to which the Company issued the Convertible Promissory Note in the aggregate principal amount of $50.0 million (the “Convertible Promissory Note”). Outstanding borrowings under the Convertible Promissory Note bears interest at a rate of 5.0% per year. The principal amount of the Convertible Promissory Note is due at the maturity date of January 9, 2026, and interest is payable semiannually. As of June 30, 2024, there was $1.2 million of accrued interest in the condensed consolidated balance sheet.</w:t>
      </w:r>
    </w:p>
    <w:p>
      <w:pPr>
        <w:spacing w:after="0" w:line="18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 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shareholders take action looking to the dissolution or liquidation of the Company; 3) the involuntary bankruptcy of 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w:t>
      </w:r>
    </w:p>
    <w:p>
      <w:pPr>
        <w:spacing w:after="0" w:line="18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a result of the Business Combination, the conversion options were bifurcated and accounted for as derivatives. Upon recognition, the Company recorded the conversion options at fair value and associated debt discount of $23.5 million. As of June 30, 2023, the fair value of the conversion options was remeasured to $61.8 million, and the Company recorded a $38.3 million change in</w:t>
      </w:r>
    </w:p>
    <w:p>
      <w:pPr>
        <w:sectPr>
          <w:pgSz w:w="11900" w:h="16838" w:orient="portrait"/>
          <w:cols w:equalWidth="0" w:num="1">
            <w:col w:w="11240"/>
          </w:cols>
          <w:pgMar w:left="320" w:top="764" w:right="33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fair value of derivative liability on the Company’s condensed consolidated statement of operations and comprehensive loss for the three and six months ended June 30, 2023.</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 xml:space="preserve">On September 24, 2023, the Company and L1 Energy entered into the Convertible Note Amendment which modified the conversion terms of the Convertible Promissory Notes. As a result, the conversion options no longer met the criteria to be bifurcated into a convertible note derivative liability; instead, the conversion options were reclassified to equity under </w:t>
      </w:r>
      <w:r>
        <w:rPr>
          <w:rFonts w:ascii="Times New Roman" w:cs="Times New Roman" w:eastAsia="Times New Roman" w:hAnsi="Times New Roman"/>
          <w:sz w:val="18"/>
          <w:szCs w:val="18"/>
          <w:i w:val="1"/>
          <w:iCs w:val="1"/>
          <w:color w:val="auto"/>
        </w:rPr>
        <w:t>ASC Topic 815, Derivatives and Hedging</w:t>
      </w:r>
      <w:r>
        <w:rPr>
          <w:rFonts w:ascii="Times New Roman" w:cs="Times New Roman" w:eastAsia="Times New Roman" w:hAnsi="Times New Roman"/>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aggregate principal maturities of long-term debt are as follows as of June 30, 2024 (in thousands):</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21"/>
                <w:szCs w:val="21"/>
                <w:color w:val="auto"/>
              </w:rPr>
            </w:pPr>
          </w:p>
        </w:tc>
      </w:t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89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2022-1 Notes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January 2023, concurrently with the Convertible Promissory Note transaction, the Company repaid the Series 2022-1 Notes issued in January 2022 with a principal amount of $25.0 million at a fixed interest rate of 5.5% per year (“Series 2022-1 Notes”) in full with the proceeds from the Convertible Promissory Note and wrote off $0.2 million of unamortized debt issuance costs related to the previously outstanding Series 2022-1 Notes, which are included in loss on debt extinguishment on the condensed consolidated statements of operations and comprehensive loss.</w:t>
      </w:r>
    </w:p>
    <w:p>
      <w:pPr>
        <w:spacing w:after="0" w:line="28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compensation and severance in certain circumstances, as defined in the respective employment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the normal course of business, the Company may become involved in litigation or legal disputes that are not covered by insurance. While the Company intends to vigorously defend itself with respect to such disputes, any potential outcomes resulting from such claims would be inherently difficult to quantify.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p>
    <w:p>
      <w:pPr>
        <w:spacing w:after="0" w:line="16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believes the current estimated fair value of any obligation from these indemnification agreements is minimal; therefore, these condensed consolidated financial statements do not include a liability for potential indemnification-related obligations at June 30, 2024.</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Preferred Stock and Convertible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and Preferred Stock</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is authorized to issue 150,000,000 shares of Common Stock. Each share of Common Stock entitles the holder to one vote on all matters submitted to a vote of the Company’s stockholders.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10,000,000 shares of Preferred Stock. As of June 30, 2024, there was no Preferred Stock outstanding.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of Common Stock reserved for future issuance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00" w:type="dxa"/>
            <w:vAlign w:val="bottom"/>
          </w:tcPr>
          <w:p>
            <w:pPr>
              <w:spacing w:after="0"/>
              <w:rPr>
                <w:sz w:val="16"/>
                <w:szCs w:val="16"/>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3,799,613</w:t>
            </w:r>
          </w:p>
        </w:tc>
        <w:tc>
          <w:tcPr>
            <w:tcW w:w="100" w:type="dxa"/>
            <w:vAlign w:val="bottom"/>
            <w:shd w:val="clear" w:color="auto" w:fill="CFF0FC"/>
          </w:tcPr>
          <w:p>
            <w:pPr>
              <w:spacing w:after="0"/>
              <w:rPr>
                <w:sz w:val="20"/>
                <w:szCs w:val="20"/>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1,527,132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potential conversion of L1 Convertible Note</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5,305,861</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fSight Contingent Shares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86,017</w:t>
            </w:r>
          </w:p>
        </w:tc>
        <w:tc>
          <w:tcPr>
            <w:tcW w:w="100" w:type="dxa"/>
            <w:vAlign w:val="bottom"/>
          </w:tcPr>
          <w:p>
            <w:pPr>
              <w:spacing w:after="0"/>
              <w:rPr>
                <w:sz w:val="20"/>
                <w:szCs w:val="20"/>
                <w:color w:val="auto"/>
              </w:rPr>
            </w:pPr>
          </w:p>
        </w:tc>
      </w:tr>
      <w:tr>
        <w:trPr>
          <w:trHeight w:val="243"/>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2023 Equity Incentive Plan</w:t>
            </w:r>
          </w:p>
        </w:tc>
        <w:tc>
          <w:tcPr>
            <w:tcW w:w="300" w:type="dxa"/>
            <w:vAlign w:val="bottom"/>
            <w:tcBorders>
              <w:bottom w:val="single" w:sz="8" w:color="CFF0FC"/>
            </w:tcBorders>
            <w:shd w:val="clear" w:color="auto" w:fill="CFF0FC"/>
          </w:tcPr>
          <w:p>
            <w:pPr>
              <w:spacing w:after="0"/>
              <w:rPr>
                <w:sz w:val="21"/>
                <w:szCs w:val="21"/>
                <w:color w:val="auto"/>
              </w:rPr>
            </w:pPr>
          </w:p>
        </w:tc>
        <w:tc>
          <w:tcPr>
            <w:tcW w:w="2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5,286,929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spacing w:after="0"/>
              <w:rPr>
                <w:sz w:val="20"/>
                <w:szCs w:val="20"/>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16,005,552</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Legacy Tigo had outstanding warrants to purchase 1,915,372 shares of Legacy Tigo common stock (“Legacy Warrants”), which (prior to the consummation of the Business Combination) represented rights to purchase Legacy Tigo common stock. During the year ended December 31, 2023, 1,915,372 Legacy Warrants were net exercised resulting in the issuance of 1,491,229 shares of Common Stock. As of December 31, 2023, there were no Legacy Warrants outstanding.</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the Company assumed 5,750,000 </w:t>
      </w:r>
      <w:r>
        <w:rPr>
          <w:rFonts w:ascii="Times New Roman" w:cs="Times New Roman" w:eastAsia="Times New Roman" w:hAnsi="Times New Roman"/>
          <w:sz w:val="18"/>
          <w:szCs w:val="18"/>
          <w:color w:val="221F1F"/>
        </w:rPr>
        <w:t>warrants originally issued as part of ROCG’s units in ROCG’s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F1F"/>
        </w:rPr>
        <w:t xml:space="preserve">initial public offering (the “Public Warrants”) </w:t>
      </w:r>
      <w:r>
        <w:rPr>
          <w:rFonts w:ascii="Times New Roman" w:cs="Times New Roman" w:eastAsia="Times New Roman" w:hAnsi="Times New Roman"/>
          <w:sz w:val="18"/>
          <w:szCs w:val="18"/>
          <w:color w:val="000000"/>
        </w:rPr>
        <w:t>and 18,750</w:t>
      </w:r>
      <w:r>
        <w:rPr>
          <w:rFonts w:ascii="Times New Roman" w:cs="Times New Roman" w:eastAsia="Times New Roman" w:hAnsi="Times New Roman"/>
          <w:sz w:val="18"/>
          <w:szCs w:val="18"/>
          <w:color w:val="221F1F"/>
        </w:rPr>
        <w:t xml:space="preserve"> warrants issued to the initial stockholders of ROCG in a private placement in connection with ROCG’s initial public offering (the “Private Warrants” and, together with the Public Warrants, the “Warrants”), </w:t>
      </w:r>
      <w:r>
        <w:rPr>
          <w:rFonts w:ascii="Times New Roman" w:cs="Times New Roman" w:eastAsia="Times New Roman" w:hAnsi="Times New Roman"/>
          <w:sz w:val="18"/>
          <w:szCs w:val="18"/>
          <w:color w:val="000000"/>
        </w:rPr>
        <w:t>which, in each case, entitle the holder to</w:t>
      </w:r>
      <w:r>
        <w:rPr>
          <w:rFonts w:ascii="Times New Roman" w:cs="Times New Roman" w:eastAsia="Times New Roman" w:hAnsi="Times New Roman"/>
          <w:sz w:val="18"/>
          <w:szCs w:val="18"/>
          <w:color w:val="221F1F"/>
        </w:rPr>
        <w:t xml:space="preserve"> </w:t>
      </w:r>
      <w:r>
        <w:rPr>
          <w:rFonts w:ascii="Times New Roman" w:cs="Times New Roman" w:eastAsia="Times New Roman" w:hAnsi="Times New Roman"/>
          <w:sz w:val="18"/>
          <w:szCs w:val="18"/>
          <w:color w:val="000000"/>
        </w:rPr>
        <w:t xml:space="preserve">purchase one share of Common Stock at an exercise price of $11.50 per share. Except with respect to certain registration rights and transfer restrictions, the Private Warrants are identical to the Public Warrants. The Company has analyzed the Warrants and determined they are freestanding instruments and do not exhibit any of the characteristics in </w:t>
      </w:r>
      <w:r>
        <w:rPr>
          <w:rFonts w:ascii="Times New Roman" w:cs="Times New Roman" w:eastAsia="Times New Roman" w:hAnsi="Times New Roman"/>
          <w:sz w:val="18"/>
          <w:szCs w:val="18"/>
          <w:i w:val="1"/>
          <w:iCs w:val="1"/>
          <w:color w:val="000000"/>
        </w:rPr>
        <w:t>ASC 480, Distinguishing Liabilities from Equity</w:t>
      </w:r>
      <w:r>
        <w:rPr>
          <w:rFonts w:ascii="Times New Roman" w:cs="Times New Roman" w:eastAsia="Times New Roman" w:hAnsi="Times New Roman"/>
          <w:sz w:val="18"/>
          <w:szCs w:val="18"/>
          <w:color w:val="000000"/>
        </w:rPr>
        <w:t xml:space="preserve">, and therefore are not classified as liabilities under </w:t>
      </w:r>
      <w:r>
        <w:rPr>
          <w:rFonts w:ascii="Times New Roman" w:cs="Times New Roman" w:eastAsia="Times New Roman" w:hAnsi="Times New Roman"/>
          <w:sz w:val="18"/>
          <w:szCs w:val="18"/>
          <w:i w:val="1"/>
          <w:iCs w:val="1"/>
          <w:color w:val="000000"/>
        </w:rPr>
        <w:t>ASC 480,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Distinguishing Liabilities from Equity.</w:t>
      </w:r>
    </w:p>
    <w:p>
      <w:pPr>
        <w:spacing w:after="0" w:line="18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Under the terms of the Warrant Agreement, the Company was entitled to redeem all of its outstanding Warrants for $0.01 per Warrant if the reported closing price of the Company’s Common Stock was at least $18.00 per share on each of twenty trading days within a 30-day trading period ending on the third trading day prior to the date on which a notice of redemption is given. This performance threshold was achieved following the market close on August 4, 2023.</w:t>
      </w:r>
    </w:p>
    <w:p>
      <w:pPr>
        <w:spacing w:after="0" w:line="18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On August 9, 2023, the Company announced the redemption of all of its outstanding Public Warrants and Private Warrants to purchase shares of Common Stock that were issued under the Warrant Agreement, dated as of August 5, 2021, by and among the Company and Continental Stock Transfer &amp; Trust Company, as warrant agent, at a redemption price of $0.01 per Warrant for those Warrants that remained outstanding following 5:00 p.m. New York City time on September 8, 2023.</w:t>
      </w:r>
    </w:p>
    <w:p>
      <w:pPr>
        <w:spacing w:after="0" w:line="182"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 total of 324,546 Warrants were exercised through September 8, 2023, resulting in proceeds, net of issuance costs, of $3.7 million. All other Warrants were redeemed on September 8, 2023.</w:t>
      </w:r>
    </w:p>
    <w:p>
      <w:pPr>
        <w:spacing w:after="0" w:line="16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paid $0.1 million for the remaining Warrants that were not exercised as of September 8, 2023, which was recorded as a reduction to additional paid-in capital on the Company’s condensed consolidated balance sheet. As of December 31, 2023, there were no Warrants outstanding.</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as discussed in Note 3, the Company issued 47,918,992 shares of Common Stock to holders of convertible preferred stock of Legacy Tigo. No convertible preferred securities were outstanding as of December 31, 2023. Prior to the Business Combination, Legacy Tigo’s convertible preferred stock was classified outside of stockholders’ deficit because the shares contained deemed liquidation rights that were contingent redemption features not solely within the control of Legacy Tigo. As a result, all of Legacy Tigo’s convertible preferred stock was classified as mezzanine equity.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 Warrants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Warrants to purchase a total of 1,064,446 shares of Series C convertible preferred stock of Legacy Tigo were initially recognized as a liability and recorded at fair value upon issuance and were subject to remeasurement to fair value at each balance sheet date. As part of the Business Combination, Legacy Tigo convertible preferred stock was remeasured immediately before the Merger date, and was subsequently converted into Legacy Tigo common stock pursuant to the conversion rate in effect immediately prior to the consummation of the Business Combination and all related Legacy Tigo convertible preferred stock warrants were converted into warrants exercisable for shares of Common Stock with terms consistent with the Legacy Tigo convertible preferred stock warrants except for the number of shares exercisable and the exercise price, each of which was adjusted using the Exchange Ratio. In connection with the Business Combination, as discussed in Note 3, all outstanding Series C convertible preferred stock warrants were exercised resulting in the net issuance of 828,733 shares of convertible preferred stock which were immediately converted into Common Stock in connection with the recapitalization. As of December 31, 2023, there were no convertible preferred stock warrants outstanding.</w:t>
      </w:r>
    </w:p>
    <w:p>
      <w:pPr>
        <w:spacing w:after="0" w:line="290"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During the three and six months ended June 30, 2024, there have been no exercises of common stock options prior to the vesting of such options. Options outstanding under the 2008 Plan will remain outstanding until they are exercised, canceled or expire.</w:t>
      </w:r>
    </w:p>
    <w:p>
      <w:pPr>
        <w:spacing w:after="0" w:line="18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May 2018, the Company adopted the 2018 Stock Plan (“2018 Plan”) under which the Company may issue stock options to purchase shares of common stock, and award restricted stock and stock appreciation rights to employees, Directors and consultants.</w:t>
      </w:r>
    </w:p>
    <w:p>
      <w:pPr>
        <w:spacing w:after="0" w:line="16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is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 During the three and six months ended June 30, 2024, there were no exercises of common stock options prior to the vesting of such options.</w:t>
      </w:r>
    </w:p>
    <w:p>
      <w:pPr>
        <w:spacing w:after="0" w:line="1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May 2023, the Company adopted the 2023 Equity Incentive Plan (“2023 Plan”) under which the Company may issue stock options to purchase shares of common stock, award restricted stock, restricted stock units (“RSU”), dividend equivalents, stock appreciation rights, and other stock-based or cash-based awards to employees, Directors and consultants.</w:t>
      </w:r>
    </w:p>
    <w:p>
      <w:pPr>
        <w:spacing w:after="0" w:line="1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stock options generally vest over a four-year period, following the date of grant, with 25% vesting on the first anniversary of the grant date and the remaining vesting in equal monthly installments thereafter. As of June 30, 2024, 77,039 stock options granted under the 2023 Plan had vested and were exercisable. There have been no stock options exercised under the 2023 Plan. The RSUs generally vest over a three-year period, following the date of grant, with a third of the award vesting on each year on the annual anniversary of the grant date. As of June 30, 2024, 739,282 RSUs that were granted under the 2023 Plan have vested into shares of Common Stock.</w:t>
      </w:r>
    </w:p>
    <w:p>
      <w:pPr>
        <w:sectPr>
          <w:pgSz w:w="11900" w:h="16838" w:orient="portrait"/>
          <w:cols w:equalWidth="0" w:num="1">
            <w:col w:w="11240"/>
          </w:cols>
          <w:pgMar w:left="320" w:top="764"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Collectively, the 2008 Stock Plan, 2018 Stock Plan and the 2023 Equity Incentive Plan are referred to as “the Plans”. The Company has reserved 5,286,929 shares of common stock for future issuance under the 2023 Plan.</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condensed consolidated statements of operations and comprehensive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520" w:type="dxa"/>
            <w:vAlign w:val="bottom"/>
            <w:gridSpan w:val="2"/>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6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0"/>
                <w:szCs w:val="20"/>
                <w:color w:val="auto"/>
              </w:rPr>
            </w:pPr>
          </w:p>
        </w:tc>
      </w:tr>
      <w:tr>
        <w:trPr>
          <w:trHeight w:val="238"/>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r>
      <w:tr>
        <w:trPr>
          <w:trHeight w:val="247"/>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21"/>
                <w:szCs w:val="21"/>
                <w:color w:val="auto"/>
              </w:rPr>
            </w:pPr>
          </w:p>
        </w:tc>
      </w:tr>
      <w:tr>
        <w:trPr>
          <w:trHeight w:val="238"/>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r>
      <w:tr>
        <w:trPr>
          <w:trHeight w:val="276"/>
        </w:trPr>
        <w:tc>
          <w:tcPr>
            <w:tcW w:w="35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4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-24765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-7620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Plans for the six months ended June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vMerge w:val="restart"/>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300" w:type="dxa"/>
            <w:vAlign w:val="bottom"/>
          </w:tcPr>
          <w:p>
            <w:pPr>
              <w:jc w:val="center"/>
              <w:ind w:left="29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00" w:type="dxa"/>
            <w:vAlign w:val="bottom"/>
          </w:tcPr>
          <w:p>
            <w:pPr>
              <w:jc w:val="center"/>
              <w:ind w:left="29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130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4,872,527</w:t>
            </w: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20"/>
                <w:szCs w:val="20"/>
                <w:color w:val="auto"/>
              </w:rPr>
            </w:pPr>
          </w:p>
        </w:tc>
        <w:tc>
          <w:tcPr>
            <w:tcW w:w="2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(768,837 )</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(232,276 )</w:t>
            </w: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6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(71,801 )</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60" w:type="dxa"/>
            <w:vAlign w:val="bottom"/>
            <w:tcBorders>
              <w:top w:val="single" w:sz="8" w:color="CFF0FC"/>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3,799,613</w:t>
            </w:r>
          </w:p>
        </w:tc>
        <w:tc>
          <w:tcPr>
            <w:tcW w:w="32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620" w:type="dxa"/>
            <w:vAlign w:val="bottom"/>
            <w:tcBorders>
              <w:top w:val="single" w:sz="8" w:color="CFF0FC"/>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6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2,282,733</w:t>
            </w:r>
          </w:p>
        </w:tc>
        <w:tc>
          <w:tcPr>
            <w:tcW w:w="32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20" w:type="dxa"/>
            <w:vAlign w:val="bottom"/>
            <w:tcBorders>
              <w:bottom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3,799,613</w:t>
            </w:r>
          </w:p>
        </w:tc>
        <w:tc>
          <w:tcPr>
            <w:tcW w:w="320" w:type="dxa"/>
            <w:vAlign w:val="bottom"/>
          </w:tcPr>
          <w:p>
            <w:pPr>
              <w:spacing w:after="0"/>
              <w:rPr>
                <w:sz w:val="19"/>
                <w:szCs w:val="19"/>
                <w:color w:val="auto"/>
              </w:rPr>
            </w:pP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-547370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-205105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-187960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June 30, 2024, the total unrecognized compensation expense related to unvested stock option awards was $7.2 million, which the Company expects to recognize over a weighted-average period of 2.8 years.</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spacing w:after="0" w:line="69" w:lineRule="exact"/>
        <w:rPr>
          <w:sz w:val="20"/>
          <w:szCs w:val="20"/>
          <w:color w:val="auto"/>
        </w:rPr>
      </w:pPr>
    </w:p>
    <w:p>
      <w:pPr>
        <w:jc w:val="both"/>
        <w:ind w:left="1020" w:hanging="504"/>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spacing w:after="0" w:line="7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based on historical volatilities of similar entities within the Company’s industry which were commensurate with the expected term assumption as described in SAB No. 107.</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 that is commensurate with the assumed expected term.</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0% because the Company has not historically paid and does not expect in the foreseeable future to pay a dividend on its common stock.</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Company’s common stock has not historically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sectPr>
          <w:pgSz w:w="11900" w:h="16838" w:orient="portrait"/>
          <w:cols w:equalWidth="0" w:num="1">
            <w:col w:w="11240"/>
          </w:cols>
          <w:pgMar w:left="320" w:top="764"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There were no options granted during the three and six months ended June 30, 2024. The fair value of each stock option granted during the six months ended June 30, 2023, was estimated on the date of grant using the weighted average assumptions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gridSpan w:val="2"/>
          </w:tcPr>
          <w:p>
            <w:pPr>
              <w:spacing w:after="0"/>
              <w:rPr>
                <w:sz w:val="16"/>
                <w:szCs w:val="16"/>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69.1 %</w:t>
            </w:r>
          </w:p>
        </w:tc>
      </w:tr>
      <w:tr>
        <w:trPr>
          <w:trHeight w:val="24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48"/>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5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for the Plans for the six months ended June 30, 2024:</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24"/>
                <w:szCs w:val="24"/>
                <w:color w:val="auto"/>
              </w:rPr>
            </w:pPr>
          </w:p>
        </w:tc>
        <w:tc>
          <w:tcPr>
            <w:tcW w:w="25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25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87"/>
        </w:trPr>
        <w:tc>
          <w:tcPr>
            <w:tcW w:w="5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160" w:type="dxa"/>
            <w:vAlign w:val="bottom"/>
            <w:gridSpan w:val="2"/>
          </w:tcPr>
          <w:p>
            <w:pPr>
              <w:spacing w:after="0"/>
              <w:rPr>
                <w:sz w:val="16"/>
                <w:szCs w:val="16"/>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9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872,037</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1,424,412</w:t>
            </w:r>
          </w:p>
        </w:tc>
        <w:tc>
          <w:tcPr>
            <w:tcW w:w="4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3360" w:type="dxa"/>
            <w:vAlign w:val="bottom"/>
            <w:gridSpan w:val="5"/>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(685,213 )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Pr>
          <w:p>
            <w:pPr>
              <w:spacing w:after="0"/>
              <w:rPr>
                <w:sz w:val="21"/>
                <w:szCs w:val="21"/>
                <w:color w:val="auto"/>
              </w:rPr>
            </w:pPr>
          </w:p>
        </w:tc>
        <w:tc>
          <w:tcPr>
            <w:tcW w:w="31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(84,104 )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240" w:type="dxa"/>
            <w:vAlign w:val="bottom"/>
            <w:tcBorders>
              <w:bottom w:val="single" w:sz="8" w:color="CFF0FC"/>
            </w:tcBorders>
            <w:shd w:val="clear" w:color="auto" w:fill="CFF0FC"/>
          </w:tcPr>
          <w:p>
            <w:pPr>
              <w:spacing w:after="0"/>
              <w:rPr>
                <w:sz w:val="24"/>
                <w:szCs w:val="24"/>
                <w:color w:val="auto"/>
              </w:rPr>
            </w:pPr>
          </w:p>
        </w:tc>
        <w:tc>
          <w:tcPr>
            <w:tcW w:w="27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1,527,132</w:t>
            </w: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As of June 30, 2024, the total unrecognized compensation expense related to unvested RSUs was $6.7 million, which the Company expects to recognize over a weighted-average period of 2.0 years.</w:t>
      </w:r>
    </w:p>
    <w:p>
      <w:pPr>
        <w:spacing w:after="0" w:line="266"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As a lessee, the Company currently leases office space and vehicles in the United States, Italy, Israel, China, Philippines and Thailand. All of the Company leases are classified as operating leases. The Company has no leases classified as finance or sales-type leases. For leases with terms greater than 12 months, the Company records the related assets and obligations at the present value of lease payments over the term. Many of its leases include rental escalation clauses, renewal options and/or termination options that are factored into the Company’s determination of lease payments.</w:t>
      </w:r>
    </w:p>
    <w:p>
      <w:pPr>
        <w:spacing w:after="0" w:line="182"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five years, some of which include options to extend the leases for up to eight years, and some of which include options to terminate the leases within one year.</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63"/>
        </w:trPr>
        <w:tc>
          <w:tcPr>
            <w:tcW w:w="4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costs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22"/>
                <w:szCs w:val="22"/>
                <w:color w:val="auto"/>
              </w:rPr>
            </w:pPr>
          </w:p>
        </w:tc>
      </w:tr>
      <w:tr>
        <w:trPr>
          <w:trHeight w:val="25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Variable lease costs</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r>
      <w:tr>
        <w:trPr>
          <w:trHeight w:val="278"/>
        </w:trPr>
        <w:tc>
          <w:tcPr>
            <w:tcW w:w="4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24"/>
                <w:szCs w:val="24"/>
                <w:color w:val="auto"/>
              </w:rPr>
            </w:pPr>
          </w:p>
        </w:tc>
        <w:tc>
          <w:tcPr>
            <w:tcW w:w="76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4"/>
                <w:szCs w:val="2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FF0FC"/>
          </w:tcPr>
          <w:p>
            <w:pPr>
              <w:spacing w:after="0"/>
              <w:rPr>
                <w:sz w:val="24"/>
                <w:szCs w:val="24"/>
                <w:color w:val="auto"/>
              </w:rPr>
            </w:pPr>
          </w:p>
        </w:tc>
      </w:tr>
      <w:tr>
        <w:trPr>
          <w:trHeight w:val="416"/>
        </w:trPr>
        <w:tc>
          <w:tcPr>
            <w:tcW w:w="4920" w:type="dxa"/>
            <w:vAlign w:val="bottom"/>
            <w:tcBorders>
              <w:top w:val="single" w:sz="8" w:color="CFF0FC"/>
            </w:tcBorders>
            <w:gridSpan w:val="2"/>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1"/>
        </w:trPr>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 (in thousands)</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63"/>
        </w:trPr>
        <w:tc>
          <w:tcPr>
            <w:tcW w:w="62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right of use assets obtained in exchange for operating lease liabilities</w:t>
            </w:r>
          </w:p>
        </w:tc>
        <w:tc>
          <w:tcPr>
            <w:tcW w:w="1240" w:type="dxa"/>
            <w:vAlign w:val="bottom"/>
            <w:gridSpan w:val="4"/>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FF0FC"/>
          </w:tcPr>
          <w:p>
            <w:pPr>
              <w:spacing w:after="0"/>
              <w:rPr>
                <w:sz w:val="22"/>
                <w:szCs w:val="22"/>
                <w:color w:val="auto"/>
              </w:rPr>
            </w:pPr>
          </w:p>
        </w:tc>
      </w:tr>
      <w:tr>
        <w:trPr>
          <w:trHeight w:val="256"/>
        </w:trPr>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tcPr>
          <w:p>
            <w:pPr>
              <w:spacing w:after="0"/>
              <w:rPr>
                <w:sz w:val="22"/>
                <w:szCs w:val="22"/>
                <w:color w:val="auto"/>
              </w:rPr>
            </w:pPr>
          </w:p>
        </w:tc>
        <w:tc>
          <w:tcPr>
            <w:tcW w:w="12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4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2"/>
                <w:szCs w:val="22"/>
                <w:color w:val="auto"/>
              </w:rPr>
            </w:pPr>
          </w:p>
        </w:tc>
      </w:tr>
      <w:tr>
        <w:trPr>
          <w:trHeight w:val="553"/>
        </w:trPr>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-1899920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-1883410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-1899920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-1883410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-1899920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-1883410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-1883410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gridSpan w:val="2"/>
          </w:tcPr>
          <w:p>
            <w:pPr>
              <w:spacing w:after="0"/>
              <w:rPr>
                <w:sz w:val="16"/>
                <w:szCs w:val="16"/>
                <w:color w:val="auto"/>
              </w:rPr>
            </w:pPr>
          </w:p>
        </w:tc>
      </w:tr>
      <w:tr>
        <w:trPr>
          <w:trHeight w:val="236"/>
        </w:trPr>
        <w:tc>
          <w:tcPr>
            <w:tcW w:w="90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7"/>
              </w:rPr>
              <w:t>2.7</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9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4.9 %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440"/>
        </w:trPr>
        <w:tc>
          <w:tcPr>
            <w:tcW w:w="9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maturities of lease liabilities were as follows as of June 30, 2024:</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9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gridSpan w:val="2"/>
          </w:tcPr>
          <w:p>
            <w:pPr>
              <w:spacing w:after="0"/>
              <w:rPr>
                <w:sz w:val="24"/>
                <w:szCs w:val="24"/>
                <w:color w:val="auto"/>
              </w:rPr>
            </w:pPr>
          </w:p>
        </w:tc>
      </w:tr>
      <w:tr>
        <w:trPr>
          <w:trHeight w:val="236"/>
        </w:trPr>
        <w:tc>
          <w:tcPr>
            <w:tcW w:w="90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Remainder of 2024</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9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9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9020" w:type="dxa"/>
            <w:vAlign w:val="bottom"/>
            <w:tcBorders>
              <w:top w:val="single" w:sz="8" w:color="CFF0FC"/>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90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8"/>
          <w:szCs w:val="18"/>
          <w:color w:val="auto"/>
        </w:rPr>
        <w:t>As of June 30, 2024, the Company had a goodwill balance of $12.2 million. The goodwill balance is related to the acquisition of fSight. Please refer to Note 4. “Acquisition of Foresight Energy, Ltd.” for further information.</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intangible assets by major asset class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useful life amounts)</w:t>
            </w:r>
          </w:p>
        </w:tc>
        <w:tc>
          <w:tcPr>
            <w:tcW w:w="140" w:type="dxa"/>
            <w:vAlign w:val="bottom"/>
            <w:vMerge w:val="restart"/>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2"/>
                <w:szCs w:val="12"/>
                <w:color w:val="auto"/>
              </w:rPr>
            </w:pPr>
          </w:p>
        </w:tc>
        <w:tc>
          <w:tcPr>
            <w:tcW w:w="15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Amortizing:</w:t>
            </w: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426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1160" w:type="dxa"/>
            <w:vAlign w:val="bottom"/>
            <w:shd w:val="clear" w:color="auto" w:fill="CFF0FC"/>
          </w:tcPr>
          <w:p>
            <w:pPr>
              <w:spacing w:after="0"/>
              <w:rPr>
                <w:sz w:val="4"/>
                <w:szCs w:val="4"/>
                <w:color w:val="auto"/>
              </w:rPr>
            </w:pPr>
          </w:p>
        </w:tc>
        <w:tc>
          <w:tcPr>
            <w:tcW w:w="140" w:type="dxa"/>
            <w:vAlign w:val="bottom"/>
            <w:shd w:val="clear" w:color="auto" w:fill="CFF0FC"/>
          </w:tcPr>
          <w:p>
            <w:pPr>
              <w:spacing w:after="0"/>
              <w:rPr>
                <w:sz w:val="4"/>
                <w:szCs w:val="4"/>
                <w:color w:val="auto"/>
              </w:rPr>
            </w:pPr>
          </w:p>
        </w:tc>
        <w:tc>
          <w:tcPr>
            <w:tcW w:w="1580" w:type="dxa"/>
            <w:vAlign w:val="bottom"/>
            <w:shd w:val="clear" w:color="auto" w:fill="CFF0FC"/>
          </w:tcPr>
          <w:p>
            <w:pPr>
              <w:spacing w:after="0"/>
              <w:rPr>
                <w:sz w:val="4"/>
                <w:szCs w:val="4"/>
                <w:color w:val="auto"/>
              </w:rPr>
            </w:pPr>
          </w:p>
        </w:tc>
        <w:tc>
          <w:tcPr>
            <w:tcW w:w="380" w:type="dxa"/>
            <w:vAlign w:val="bottom"/>
            <w:shd w:val="clear" w:color="auto" w:fill="CFF0FC"/>
          </w:tcPr>
          <w:p>
            <w:pPr>
              <w:spacing w:after="0"/>
              <w:rPr>
                <w:sz w:val="4"/>
                <w:szCs w:val="4"/>
                <w:color w:val="auto"/>
              </w:rPr>
            </w:pPr>
          </w:p>
        </w:tc>
        <w:tc>
          <w:tcPr>
            <w:tcW w:w="1580" w:type="dxa"/>
            <w:vAlign w:val="bottom"/>
            <w:shd w:val="clear" w:color="auto" w:fill="CFF0FC"/>
          </w:tcPr>
          <w:p>
            <w:pPr>
              <w:spacing w:after="0"/>
              <w:rPr>
                <w:sz w:val="4"/>
                <w:szCs w:val="4"/>
                <w:color w:val="auto"/>
              </w:rPr>
            </w:pPr>
          </w:p>
        </w:tc>
        <w:tc>
          <w:tcPr>
            <w:tcW w:w="340" w:type="dxa"/>
            <w:vAlign w:val="bottom"/>
            <w:shd w:val="clear" w:color="auto" w:fill="CFF0FC"/>
          </w:tcPr>
          <w:p>
            <w:pPr>
              <w:spacing w:after="0"/>
              <w:rPr>
                <w:sz w:val="4"/>
                <w:szCs w:val="4"/>
                <w:color w:val="auto"/>
              </w:rPr>
            </w:pPr>
          </w:p>
        </w:tc>
        <w:tc>
          <w:tcPr>
            <w:tcW w:w="156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40" w:type="dxa"/>
            <w:vAlign w:val="bottom"/>
          </w:tcPr>
          <w:p>
            <w:pPr>
              <w:spacing w:after="0"/>
              <w:rPr>
                <w:sz w:val="20"/>
                <w:szCs w:val="20"/>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1"/>
              </w:rPr>
              <w:t>(101 )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1"/>
              </w:rPr>
              <w:t>(258 )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1"/>
              </w:rPr>
              <w:t>(383 )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useful life amounts)</w:t>
            </w:r>
          </w:p>
        </w:tc>
        <w:tc>
          <w:tcPr>
            <w:tcW w:w="140" w:type="dxa"/>
            <w:vAlign w:val="bottom"/>
            <w:vMerge w:val="restart"/>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0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Amortizing:</w:t>
            </w:r>
          </w:p>
        </w:tc>
        <w:tc>
          <w:tcPr>
            <w:tcW w:w="1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140" w:type="dxa"/>
            <w:vAlign w:val="bottom"/>
          </w:tcPr>
          <w:p>
            <w:pPr>
              <w:spacing w:after="0"/>
              <w:rPr>
                <w:sz w:val="20"/>
                <w:szCs w:val="20"/>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1"/>
              </w:rPr>
              <w:t>(167 )</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1"/>
              </w:rPr>
              <w:t>(248 )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-1446530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-1429385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-1446530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-1429385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-1429385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The Company recognized amortization expense related to intangible assets of $0.1 million and $0.1 million for the three months ended June 30, 2024, and 2023, respectively. The Company recognized amortization expense related to acquired intangible assets of $0.1 million and $0.1 million for the six months ended June 30, 2024, and 2023, respectively.</w:t>
      </w:r>
    </w:p>
    <w:p>
      <w:pPr>
        <w:spacing w:after="0" w:line="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related to intangible assets at June 30, 2024, in each of the next five years and beyond is expected to be incurred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6"/>
        </w:trPr>
        <w:tc>
          <w:tcPr>
            <w:tcW w:w="86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CFF"/>
          </w:tcPr>
          <w:p>
            <w:pPr>
              <w:spacing w:after="0"/>
              <w:rPr>
                <w:sz w:val="20"/>
                <w:szCs w:val="20"/>
                <w:color w:val="auto"/>
              </w:rPr>
            </w:pPr>
          </w:p>
        </w:tc>
      </w:tr>
      <w:tr>
        <w:trPr>
          <w:trHeight w:val="238"/>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r>
      <w:tr>
        <w:trPr>
          <w:trHeight w:val="247"/>
        </w:trPr>
        <w:tc>
          <w:tcPr>
            <w:tcW w:w="8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CFF"/>
          </w:tcPr>
          <w:p>
            <w:pPr>
              <w:spacing w:after="0"/>
              <w:rPr>
                <w:sz w:val="21"/>
                <w:szCs w:val="21"/>
                <w:color w:val="auto"/>
              </w:rPr>
            </w:pPr>
          </w:p>
        </w:tc>
      </w:tr>
      <w:tr>
        <w:trPr>
          <w:trHeight w:val="238"/>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0"/>
                <w:szCs w:val="20"/>
                <w:color w:val="auto"/>
              </w:rPr>
            </w:pPr>
          </w:p>
        </w:tc>
      </w:tr>
      <w:tr>
        <w:trPr>
          <w:trHeight w:val="247"/>
        </w:trPr>
        <w:tc>
          <w:tcPr>
            <w:tcW w:w="8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CFF"/>
          </w:tcPr>
          <w:p>
            <w:pPr>
              <w:spacing w:after="0"/>
              <w:rPr>
                <w:sz w:val="21"/>
                <w:szCs w:val="21"/>
                <w:color w:val="auto"/>
              </w:rPr>
            </w:pPr>
          </w:p>
        </w:tc>
      </w:tr>
      <w:tr>
        <w:trPr>
          <w:trHeight w:val="238"/>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r>
      <w:tr>
        <w:trPr>
          <w:trHeight w:val="276"/>
        </w:trPr>
        <w:tc>
          <w:tcPr>
            <w:tcW w:w="86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current and future taxes to be paid. The Company is subject to income taxes in both the United States and foreign jurisdictions. Significant judgment and estimates are required in determining the consolidated income tax expense.</w:t>
      </w:r>
    </w:p>
    <w:p>
      <w:pPr>
        <w:spacing w:after="0" w:line="17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In the second quarter of 2023, the Company assessed all available positive and negative evidence placing the most weight on objectively verifiable information. As such, the Company’s cumulative profit position was given the most weight and, based on estimated future sources of taxable income, the Company determined that the future benefits were more likely than not to be realized and released the valuation allowance against U.S. federal net deferred tax assets. The Company continued to record a valuation allowance against its state net deferred tax assets which is primarily the state of California deferred tax assets.</w:t>
      </w:r>
    </w:p>
    <w:p>
      <w:pPr>
        <w:spacing w:after="0" w:line="1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the third quarter of 2023, management considered new evidence, both positive and negative, that could affect its view of the future realization of deferred tax assets. In the third quarter of 2023, the Company and its industry overall experienced a significant change in outlook. As a result of the significant number of bankruptcies by installers, higher than expected order cancellations and pushouts, slower than expected installation rates, higher inventory levels in the channel and a general slowdown in the macroeconomic environment in the third quarter of 2023, the Company assessed all available positive and negative evidence and determined that its U.S. federal net deferred tax asset is no longer more likely than not realizable and recorded a valuation allowance against its U.S. federal net deferred tax assets. In making this determination, the Company placed the most weight on objectively verifiable information which was the Company’s cumulative loss position. As a result, the Company recorded a tax expense and valuation allowance of $11.1 million on the basis of managements’ reassessment of the amount of its deferred tax assets that were more likely than not to be realized. As of June 30, 2024, the Company has maintained this position.</w:t>
      </w:r>
    </w:p>
    <w:p>
      <w:pPr>
        <w:spacing w:after="0" w:line="18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Income tax expense was $16,000 for the three months and six months ended June 30, 2024. Income tax benefit was $10.9 million for the three months and six months ended June 30, 2023.</w:t>
      </w:r>
    </w:p>
    <w:p>
      <w:pPr>
        <w:spacing w:after="0" w:line="16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 months ended June 30, 2024, and 2023 were (0.1)% and 32.8%, respectively. The effective tax rates for the six months ended June 30, 2024, and 2023 were (0.1)% and 41.5%, respectively. The item that had the most significant impact on the difference between the statutory U.S. federal income tax rate of 21.0% and the effective tax rate for the three and six months ended June 30, 2024, was the valuation allowance which offset the tax benefit of book losses. The item that had the most significant impact on the difference between the statutory U.S. federal income tax rate of 21.0% and the effective tax rate for the three and six months ended June 30, 2023, was the discrete tax benefit of releasing valuation allowance against U.S. deferred tax assets.</w:t>
      </w:r>
    </w:p>
    <w:p>
      <w:pPr>
        <w:spacing w:after="0" w:line="289"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 Based upon this review, other than as described below, the Company did not identify any subsequent events that would have required adjustment or disclosure in the condensed consolidated financial statements.</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On July 25, 2024, consistent with the terms of the purchase agreement related to the acquisition of fSight, the Company issued 86,017 shares of its Common Stock as the second tranche of Contingent Shares to certain former equity holders of fSight. These shares were scheduled for release in two tranches, at 12 months and 18 months post-Acquisition Closing Date, subject to adjustment pursuant to the terms of the purchase agreement. This issuance represented the completion of the 18-month release condition. The fair value of</w:t>
      </w:r>
    </w:p>
    <w:p>
      <w:pPr>
        <w:sectPr>
          <w:pgSz w:w="11900" w:h="16838" w:orient="portrait"/>
          <w:cols w:equalWidth="0" w:num="1">
            <w:col w:w="11240"/>
          </w:cols>
          <w:pgMar w:left="320" w:top="764" w:right="339" w:bottom="1440" w:gutter="0" w:footer="0" w:header="0"/>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shares, at the time of release, was approximately $0.1 million, based on the prevailing market price of the Company’s Common Stock on July 25, 2024. As of July 25, 2024, there are no remaining contingent shares related to the acquisition of fSight. See Note 4, “Acquisition of Foresight Energy, Ltd.,” of the notes to the condensed consolidated financial statements for additional information.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2023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including those set forth in Part II, Item 1A, “Risk Factors” in this Quarterly Report on Form 10-Q and in Part I, Item 1A, “Risk Factors” in the 2023 Annual Report. Additionally, our historical results are not necessarily indicative of the results that may be expected for any period in the future. Unless otherwise indicated or the context otherwise requires, references in this section to “we,” “our,” “us,” “the Company” or other similar terms refer to the business and operations of Tigo Energy, Inc. and its subsidiaries prior to the Business Combination (“Legacy Tigo”) and Tigo Energy Inc. following the consummation of the Business Combination. References to “ROCG” refer to Roth CH Acquisition IV Co. prior to the consummation of the Business Combination.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May Influence Future Results of Operations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Our financial results of operations may not be comparable from period to period due to several factors. Key factors affecting our results of operations are summarized below.</w:t>
      </w:r>
    </w:p>
    <w:p>
      <w:pPr>
        <w:spacing w:after="0" w:line="16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Demand for Products. </w:t>
      </w:r>
      <w:r>
        <w:rPr>
          <w:rFonts w:ascii="Times New Roman" w:cs="Times New Roman" w:eastAsia="Times New Roman" w:hAnsi="Times New Roman"/>
          <w:sz w:val="18"/>
          <w:szCs w:val="18"/>
          <w:color w:val="auto"/>
        </w:rPr>
        <w:t>The demand for our products in Europe and the United States experienced a notable slowdown beginning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in 2023 and continued into the first half of 2024. In Europe, the slowdown was primarily due to elevated inventory levels with distributors and an overall channel inventory correction as they responded to a slower demand environment. Additionally, there has been uncertainty surrounding the net energy metering policies and solar export penalties in the European markets, such as Germany, Belgium, Italy and the United Kingdom, which also contributed to the overall slowdown in demand in Europe. In the United States, the slowdown was primarily attributable due to higher interest rates than recent prior periods and the transition from the second iteration of net metering (“NEM 2.0”) to the third iteration of net metering (“NEM 3.0”) in California. The factors noted above have led to elevated inventory levels with distributors and installers in both regions. Given these factors, revenues have been, and may continue to be, adversely affected in 2024.</w:t>
      </w:r>
    </w:p>
    <w:p>
      <w:pPr>
        <w:spacing w:after="0" w:line="1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response to the factors noted above, we reduced staffing levels across all geographies in December 2023 by approximately 15%, and in April 2024 by approximately 10%. As a result, we expect to reduce cash expenditures associated with the reduction of personnel costs by approximately $7.3 million in 2024.</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Unfavorable Macroeconomic and Market Conditions. </w:t>
      </w:r>
      <w:r>
        <w:rPr>
          <w:rFonts w:ascii="Times New Roman" w:cs="Times New Roman" w:eastAsia="Times New Roman" w:hAnsi="Times New Roman"/>
          <w:sz w:val="18"/>
          <w:szCs w:val="18"/>
          <w:color w:val="auto"/>
        </w:rPr>
        <w:t>The global macroeconomic and market uncertainty, including higher interest rates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inflation, has caused disruptions in financial markets and may continue to have an adverse effect on the U.S. and world economies. Since the second quarter of 2023, we have experienced a significant number of customer requests to delay purchase order deliveries and a smaller number of purchase order cancellations and returns. Other customers may decide to delay purchasing our products and services or not purchase at all. A tighter credit market for consumer and business spending could, in turn, adversely affect spending levels of installers and end users and lead to increased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Managing Supply Chain. </w:t>
      </w:r>
      <w:r>
        <w:rPr>
          <w:rFonts w:ascii="Times New Roman" w:cs="Times New Roman" w:eastAsia="Times New Roman" w:hAnsi="Times New Roman"/>
          <w:sz w:val="18"/>
          <w:szCs w:val="18"/>
          <w:color w:val="auto"/>
        </w:rPr>
        <w:t>We rely on contract manufacturers and suppliers to produce our components. Our ability to grow depends, in part,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A significant portion of our supply chain originates in Thailand and China. In the event we are unable to mitigate the impact of delays and/or price increases in raw materials, electronic components and freight, it could delay the manufacturing and delivery of our products, which would adversely impact our cash flows and results of operations, including revenue and gross margin. In addition, in a slowing economic environment, our inventory levels may continue to increase due to existing purchase commitments and our ability to negotiate volume pricing discounts may be impaired.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0" w:lineRule="exact"/>
        <w:rPr>
          <w:sz w:val="20"/>
          <w:szCs w:val="20"/>
          <w:color w:val="auto"/>
        </w:rPr>
      </w:pPr>
    </w:p>
    <w:p>
      <w:pPr>
        <w:jc w:val="both"/>
        <w:ind w:right="100"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Expansion of Sales with Existing Customers and Adding New Customers. </w:t>
      </w:r>
      <w:r>
        <w:rPr>
          <w:rFonts w:ascii="Times New Roman" w:cs="Times New Roman" w:eastAsia="Times New Roman" w:hAnsi="Times New Roman"/>
          <w:sz w:val="17"/>
          <w:szCs w:val="17"/>
          <w:color w:val="auto"/>
        </w:rPr>
        <w:t>Our future revenue growth is, in part, dependent on our ability to expand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offerings and services in the U.S. residential market. In our North American market, revenue is generally generated from our product offerings and services in the commercial and industrial markets. In order to continue revenue growth, we plan to expand our presence in the residential market through offerings with residential solar providers. We also expect to continue to evaluate and invest in new market opportunities internationally. We believe that our entry into new markets will continue to facilitate revenue growth and customer diversification. We primarily acquire new customers through collaboration with our industry partners and distributors. While we expect that a substantial portion of our future revenues in the near-term will be generated from our existing customers, we expect to invest in our sales and marketing to broaden reach with new residential customers in the U.S. and EMEA.</w:t>
      </w:r>
    </w:p>
    <w:p>
      <w:pPr>
        <w:spacing w:after="0" w:line="169"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Expansion of New Products and Services. </w:t>
      </w:r>
      <w:r>
        <w:rPr>
          <w:rFonts w:ascii="Times New Roman" w:cs="Times New Roman" w:eastAsia="Times New Roman" w:hAnsi="Times New Roman"/>
          <w:sz w:val="18"/>
          <w:szCs w:val="18"/>
          <w:color w:val="auto"/>
        </w:rPr>
        <w:t>We have made substantial investments in research and development and sales and marketing to achieve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position in our market and revenue growth. While a majority of our revenue is generated from the sale of our MLPE products, we intend to continue the development and promotion of our GO Energy Storage Systems (“GO ESS”) and Predict+ product and service lines.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our public competitors and are regularly used by securities analysts, institutional investors, and other interested parties in analyzing operating performance and prospects.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these metrics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68,826</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118,884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30.4 %</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37.6 %</w:t>
            </w:r>
          </w:p>
        </w:tc>
        <w:tc>
          <w:tcPr>
            <w:tcW w:w="3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29.5 %</w:t>
            </w:r>
          </w:p>
        </w:tc>
        <w:tc>
          <w:tcPr>
            <w:tcW w:w="3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4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(8,403 )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3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(17,491 )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(11,321 )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(22,176 )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(22,827 )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(15,266 )</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We define gross profit as total net revenue less cost of revenue, and define gross margin, expressed as a percentage, as the ratio of gross profit to revenue. Gross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and Comparison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8"/>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ind w:left="6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ind w:left="6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28"/>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12,701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68,826</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(56,125 )</w:t>
            </w:r>
          </w:p>
        </w:tc>
        <w:tc>
          <w:tcPr>
            <w:tcW w:w="3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(81.5 )%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$ 118,884</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(96,381 )</w:t>
            </w:r>
          </w:p>
        </w:tc>
        <w:tc>
          <w:tcPr>
            <w:tcW w:w="3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and six months ended June 30, 2024, and 2023</w:t>
      </w:r>
    </w:p>
    <w:p>
      <w:pPr>
        <w:spacing w:after="0" w:line="119"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8"/>
          <w:szCs w:val="18"/>
          <w:color w:val="auto"/>
        </w:rPr>
        <w:t>Net revenue decreased by $56.1 million or 81.5% for the three months ended June 30, 2024, and by $96.4 million or 81.1% for the six months ended June 30, 2024, as compared to the same periods in 2023. The decreases are primarily due to the solar industry experiencing a broad-based slowdown in both the U.S. and European markets, which resulted in elevated inventory with distributors and installers, and as a result the overall demand for our products and services decreased as distributors and installers responded to this slower demand environment. In the Americas region, this slowdown was primarily the result of higher interest rates and the transition from NEM 2.0 to NEM 3.0 in California. In the EMEA region, this slowdown was primarily the result of a decrease in customer</w:t>
      </w:r>
    </w:p>
    <w:p>
      <w:pPr>
        <w:sectPr>
          <w:pgSz w:w="11900" w:h="16838" w:orient="portrait"/>
          <w:cols w:equalWidth="0" w:num="1">
            <w:col w:w="11340"/>
          </w:cols>
          <w:pgMar w:left="320" w:top="764" w:right="239" w:bottom="1440" w:gutter="0" w:footer="0" w:header="0"/>
        </w:sectPr>
      </w:pPr>
    </w:p>
    <w:p>
      <w:pPr>
        <w:spacing w:after="0" w:line="2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purchases in Europe after a surge of sales were realized in 2022 and going into the first half of 2023 due to higher energy prices in Europe related to the onset of the armed conflict in Ukraine in 2022, and overall channel inventory correction.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8"/>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ind w:left="54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44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(48,098 )</w:t>
            </w:r>
          </w:p>
        </w:tc>
        <w:tc>
          <w:tcPr>
            <w:tcW w:w="34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(87.3 )%$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(82,568 )</w:t>
            </w: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(86.6 )%</w:t>
            </w:r>
          </w:p>
        </w:tc>
      </w:tr>
      <w:tr>
        <w:trPr>
          <w:trHeight w:val="23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(8,332 )</w:t>
            </w:r>
          </w:p>
        </w:tc>
        <w:tc>
          <w:tcPr>
            <w:tcW w:w="34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(74.6 )%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(12,627 )</w:t>
            </w: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(69.4 )%</w:t>
            </w:r>
          </w:p>
        </w:tc>
      </w:tr>
      <w:tr>
        <w:trPr>
          <w:trHeight w:val="25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(1,186 )</w:t>
            </w:r>
          </w:p>
        </w:tc>
        <w:tc>
          <w:tcPr>
            <w:tcW w:w="2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0"/>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68,826</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(56,125 )</w:t>
            </w:r>
          </w:p>
        </w:tc>
        <w:tc>
          <w:tcPr>
            <w:tcW w:w="340" w:type="dxa"/>
            <w:vAlign w:val="bottom"/>
          </w:tcPr>
          <w:p>
            <w:pPr>
              <w:spacing w:after="0"/>
              <w:rPr>
                <w:sz w:val="20"/>
                <w:szCs w:val="20"/>
                <w:color w:val="auto"/>
              </w:rPr>
            </w:pPr>
          </w:p>
        </w:tc>
        <w:tc>
          <w:tcPr>
            <w:tcW w:w="104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15"/>
                <w:szCs w:val="15"/>
                <w:color w:val="auto"/>
              </w:rPr>
              <w:t>(81.5 )%</w:t>
            </w:r>
            <w:r>
              <w:rPr>
                <w:rFonts w:ascii="Times New Roman" w:cs="Times New Roman" w:eastAsia="Times New Roman" w:hAnsi="Times New Roman"/>
                <w:sz w:val="27"/>
                <w:szCs w:val="27"/>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(96,381 )</w:t>
            </w: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(81.1 )%</w:t>
            </w:r>
          </w:p>
        </w:tc>
      </w:tr>
      <w:tr>
        <w:trPr>
          <w:trHeight w:val="20"/>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and six months ended June 30, 2024, and 2023</w:t>
      </w:r>
    </w:p>
    <w:p>
      <w:pPr>
        <w:spacing w:after="0" w:line="119" w:lineRule="exact"/>
        <w:rPr>
          <w:sz w:val="20"/>
          <w:szCs w:val="20"/>
          <w:color w:val="auto"/>
        </w:rPr>
      </w:pPr>
    </w:p>
    <w:p>
      <w:pPr>
        <w:jc w:val="both"/>
        <w:ind w:left="1020" w:right="10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 Net revenue for the EMEA region decreased by $48.1 million or 87.3% for the three months ended June 30, 2024, and by $82.6 million or 86.6% for the six months ended June 30, 2024, as compared to the same periods in 2023. The decreases are primarily due to a slowdown in demand in the region due to elevated inventory levels at distributors and installers.</w:t>
      </w:r>
    </w:p>
    <w:p>
      <w:pPr>
        <w:spacing w:after="0" w:line="69" w:lineRule="exact"/>
        <w:rPr>
          <w:rFonts w:ascii="Times New Roman" w:cs="Times New Roman" w:eastAsia="Times New Roman" w:hAnsi="Times New Roman"/>
          <w:sz w:val="18"/>
          <w:szCs w:val="18"/>
          <w:color w:val="auto"/>
        </w:rPr>
      </w:pPr>
    </w:p>
    <w:p>
      <w:pPr>
        <w:jc w:val="both"/>
        <w:ind w:left="1020" w:right="100" w:hanging="504"/>
        <w:spacing w:after="0" w:line="26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 Net revenue for the Americas region decreased by $8.3 million or 74.6% for the three months ended June 30, 2024, and by $12.6 million or 69.4% for the six months ended June 30, 2024, as compared to the same periods in 2023. The decreases are primarily due to demand for our solutions slowing as a result of higher interest rates impacting customers’ investment decisions and the transition from NEM 2.0 to NEM 3.0 in California.</w:t>
      </w:r>
    </w:p>
    <w:p>
      <w:pPr>
        <w:spacing w:after="0" w:line="73" w:lineRule="exact"/>
        <w:rPr>
          <w:rFonts w:ascii="Times New Roman" w:cs="Times New Roman" w:eastAsia="Times New Roman" w:hAnsi="Times New Roman"/>
          <w:sz w:val="18"/>
          <w:szCs w:val="18"/>
          <w:color w:val="auto"/>
        </w:rPr>
      </w:pPr>
    </w:p>
    <w:p>
      <w:pPr>
        <w:jc w:val="both"/>
        <w:ind w:left="1020" w:right="100" w:hanging="504"/>
        <w:spacing w:after="0" w:line="260"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APAC - Net revenue for the APAC region increased by $0.3 million or 11.9% for the three months ended June 30, 2024, and decreased by $1.2 million or 22.3% for the six months ended June 30, 2024, as compared to the same periods in 2023. Net revenue remained consistent for the three months ended June 30, 2024, compared to the same period in 2023. The decrease in net revenue for the six months ended June 30, 2024, compared to the same period in 2023 was primarily driven by a 66.1% decline in sales in China.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3"/>
          </w:tcPr>
          <w:p>
            <w:pPr>
              <w:ind w:left="4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ind w:left="38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24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(34,086 )</w:t>
            </w:r>
          </w:p>
        </w:tc>
        <w:tc>
          <w:tcPr>
            <w:tcW w:w="2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(79.4 )%$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2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(58,739 )</w:t>
            </w:r>
          </w:p>
        </w:tc>
        <w:tc>
          <w:tcPr>
            <w:tcW w:w="2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(78.7 )%</w:t>
            </w:r>
          </w:p>
        </w:tc>
      </w:tr>
      <w:tr>
        <w:trPr>
          <w:trHeight w:val="24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4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(22,039 )</w:t>
            </w:r>
          </w:p>
        </w:tc>
        <w:tc>
          <w:tcPr>
            <w:tcW w:w="2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(85.1 )%$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(37,642 )</w:t>
            </w:r>
          </w:p>
        </w:tc>
        <w:tc>
          <w:tcPr>
            <w:tcW w:w="20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76"/>
        </w:trPr>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30.4 %</w:t>
            </w:r>
          </w:p>
        </w:tc>
        <w:tc>
          <w:tcPr>
            <w:tcW w:w="22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37.6 %</w:t>
            </w:r>
          </w:p>
        </w:tc>
        <w:tc>
          <w:tcPr>
            <w:tcW w:w="2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29.5 %</w:t>
            </w:r>
          </w:p>
        </w:tc>
        <w:tc>
          <w:tcPr>
            <w:tcW w:w="20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37.2 %</w:t>
            </w:r>
          </w:p>
        </w:tc>
        <w:tc>
          <w:tcPr>
            <w:tcW w:w="18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and six months ended June 30, 2024, and 2023</w:t>
      </w:r>
    </w:p>
    <w:p>
      <w:pPr>
        <w:spacing w:after="0" w:line="119"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Cost of revenue decreased by $34.1 million or 79.4% and gross profit decreased by $22.0 million or 85.1% for the three months ended June 30, 2024, compared to the same period in 2023. Cost of revenues decreased by $58.7 million or 78.7% and gross profit decreased by $37.6 million or 85.0% for the six months ended June 30, 2024, as compared to the same period in 2023. The decreases are primarily due to an 81.5% and 81.1% decline in net revenues for the three months and six months ended June 30, 2024, respectively, compared to the same periods in 2023.</w:t>
      </w:r>
    </w:p>
    <w:p>
      <w:pPr>
        <w:spacing w:after="0" w:line="182"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Gross margin decreased by 7.2 percentage points for the three months ended June 30, 2024, and by 7.7 percentage points for the six months ended June 30, 2024, as compared to the same periods in 2023. The decreases are primarily due both to lower sales volume due to the unfavorable macroeconomic and market conditions noted above and sales promotions and discounts related to the Company’s GO ESS product line.</w:t>
      </w:r>
    </w:p>
    <w:p>
      <w:pPr>
        <w:spacing w:after="0" w:line="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40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ind w:left="36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r>
      <w:tr>
        <w:trPr>
          <w:trHeight w:val="228"/>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6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11.6 %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4,638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8"/>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net revenue</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21.3 %</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3.9 %</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119"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expense remained consistent for the three months ended June 30, 2024, as compared to the same period in 2023. Research and development expense as percentage of net revenue increased to 21.3% for the three months ended June 30, 2024, compared to 3.5% for the same period in 2023 which is primarily due to a decrease in net revenue during the three months ended June 30, 2024, compared to the same period in 2023.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119"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expense increased by $0.5 million or 11.6% for the six months ended June 30, 2024, as compared to the same period in 2023. The increase was primarily driven by an increase in consulting and facility expenses. Research and development expense as percentage of net revenue increased to 23.0% for the six months ended June 30, 2024, compared to 3.9% for the same period in 2023 which is primarily due to a decrease in net revenue during the six months ended June 30, 2024, compared to the same period in 2023.</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of research and development expenses may fluctuate from period to period due to differing levels and stages of development activity.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8"/>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ind w:left="52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40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2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(1,108 )</w:t>
            </w:r>
          </w:p>
        </w:tc>
        <w:tc>
          <w:tcPr>
            <w:tcW w:w="28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(1,277 )</w:t>
            </w: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net revenue</w:t>
            </w: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8.4 %</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119"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Sales and marketing expense decreased by $1.1 million or 21.5% for the three months ended June 30, 2024, as compared to the same period in 2023. The decrease is attributed to reduced payroll and travel expenses resulting from a lower headcount during the three months ended June 30, 2024, compared to the same period in 2023. Sales and marketing expense as a percentage of net revenue increased by 24.4% primarily due to a decrease in net revenues for the three months ending June 30, 2024, compared to the same period in 2023.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119" w:lineRule="exact"/>
        <w:rPr>
          <w:sz w:val="20"/>
          <w:szCs w:val="20"/>
          <w:color w:val="auto"/>
        </w:rPr>
      </w:pPr>
    </w:p>
    <w:p>
      <w:pPr>
        <w:jc w:val="both"/>
        <w:ind w:right="100" w:firstLine="509"/>
        <w:spacing w:after="0" w:line="260" w:lineRule="auto"/>
        <w:rPr>
          <w:sz w:val="20"/>
          <w:szCs w:val="20"/>
          <w:color w:val="auto"/>
        </w:rPr>
      </w:pPr>
      <w:r>
        <w:rPr>
          <w:rFonts w:ascii="Times New Roman" w:cs="Times New Roman" w:eastAsia="Times New Roman" w:hAnsi="Times New Roman"/>
          <w:sz w:val="18"/>
          <w:szCs w:val="18"/>
          <w:color w:val="auto"/>
        </w:rPr>
        <w:t>Sales and marketing expense decreased by $1.3 million or 12.9% for the six months ended June 30, 2024, as compared to the same period in 2023. The decrease is attributed to reduced payroll and travel expenses resulting from a lower headcount during the six months ended June 30, 2024, compared to the same period in 2023. Sales and marketing expense as a percentage of net revenue increased by 30.1% primarily due to a decrease in net revenues for the six months ending June 30, 2024, compared to the same period in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8"/>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ind w:left="48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400"/>
              <w:spacing w:after="0" w:line="15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(4,143 )</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(42.9 )%$  10,291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13,217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(2,926 )</w:t>
            </w: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3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net revenue</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43.4 %</w:t>
            </w: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14.0 %</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45.7 %</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11.1 %</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sectPr>
      </w:pPr>
    </w:p>
    <w:p>
      <w:pPr>
        <w:spacing w:after="0" w:line="3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4" w:right="2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119"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 decreased by $4.1 million or 42.9% for the three months ended June 30, 2024, as compared to the same period in 2023. The decrease is primarily related to legal expense associated with the Business Combination that occurred during the three months ended June 30, 2023.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119"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 decreased by $2.9 million or 22.1% for the six months ended June 30, 2024, as compared to the same period in 2023. The decrease is primarily related to legal expense associated with the Business Combination that occurred during the three months ended June 30, 2023, and is partially offset by an increase in personnel-related stock-based compensation expenses.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28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color w:val="auto"/>
              </w:rPr>
              <w:t>Change in fair value of preferred stock warrant and</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24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(2,567 )</w:t>
            </w:r>
          </w:p>
        </w:tc>
        <w:tc>
          <w:tcPr>
            <w:tcW w:w="240" w:type="dxa"/>
            <w:vAlign w:val="bottom"/>
          </w:tcPr>
          <w:p>
            <w:pPr>
              <w:spacing w:after="0"/>
              <w:rPr>
                <w:sz w:val="11"/>
                <w:szCs w:val="11"/>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(98.4 )% $</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(155 )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2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(3,275 )</w:t>
            </w:r>
          </w:p>
        </w:tc>
        <w:tc>
          <w:tcPr>
            <w:tcW w:w="18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0" w:type="dxa"/>
            <w:vAlign w:val="bottom"/>
          </w:tcPr>
          <w:p>
            <w:pPr>
              <w:spacing w:after="0"/>
              <w:rPr>
                <w:sz w:val="1"/>
                <w:szCs w:val="1"/>
                <w:color w:val="auto"/>
              </w:rPr>
            </w:pPr>
          </w:p>
        </w:tc>
      </w:tr>
      <w:tr>
        <w:trPr>
          <w:trHeight w:val="18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contingent shares liability</w:t>
            </w: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8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(38,251 )</w:t>
            </w:r>
          </w:p>
        </w:tc>
        <w:tc>
          <w:tcPr>
            <w:tcW w:w="2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(100.0 )%</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(38,251 )</w:t>
            </w: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(171 )</w:t>
            </w: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80.3 %</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140.5 %</w:t>
            </w:r>
          </w:p>
        </w:tc>
        <w:tc>
          <w:tcPr>
            <w:tcW w:w="0" w:type="dxa"/>
            <w:vAlign w:val="bottom"/>
          </w:tcPr>
          <w:p>
            <w:pPr>
              <w:spacing w:after="0"/>
              <w:rPr>
                <w:sz w:val="1"/>
                <w:szCs w:val="1"/>
                <w:color w:val="auto"/>
              </w:rPr>
            </w:pP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(672 )</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(99.9 )%</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(213 )</w:t>
            </w: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(1,223 )</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(82.6 )%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other expenses, net</w:t>
            </w: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2,902</w:t>
            </w:r>
          </w:p>
        </w:tc>
        <w:tc>
          <w:tcPr>
            <w:tcW w:w="24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41,774</w:t>
            </w:r>
          </w:p>
        </w:tc>
        <w:tc>
          <w:tcPr>
            <w:tcW w:w="240" w:type="dxa"/>
            <w:vAlign w:val="bottom"/>
          </w:tcPr>
          <w:p>
            <w:pPr>
              <w:spacing w:after="0"/>
              <w:rPr>
                <w:sz w:val="14"/>
                <w:szCs w:val="14"/>
                <w:color w:val="auto"/>
              </w:rPr>
            </w:pP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(38,872 )</w:t>
            </w:r>
          </w:p>
        </w:tc>
        <w:tc>
          <w:tcPr>
            <w:tcW w:w="240" w:type="dxa"/>
            <w:vAlign w:val="bottom"/>
          </w:tcPr>
          <w:p>
            <w:pPr>
              <w:spacing w:after="0"/>
              <w:rPr>
                <w:sz w:val="14"/>
                <w:szCs w:val="14"/>
                <w:color w:val="auto"/>
              </w:rPr>
            </w:pPr>
          </w:p>
        </w:tc>
        <w:tc>
          <w:tcPr>
            <w:tcW w:w="960" w:type="dxa"/>
            <w:vAlign w:val="bottom"/>
            <w:gridSpan w:val="3"/>
          </w:tcPr>
          <w:p>
            <w:pPr>
              <w:jc w:val="right"/>
              <w:ind w:right="120"/>
              <w:spacing w:after="0" w:line="156" w:lineRule="exact"/>
              <w:rPr>
                <w:sz w:val="20"/>
                <w:szCs w:val="20"/>
                <w:color w:val="auto"/>
              </w:rPr>
            </w:pPr>
            <w:r>
              <w:rPr>
                <w:rFonts w:ascii="Times New Roman" w:cs="Times New Roman" w:eastAsia="Times New Roman" w:hAnsi="Times New Roman"/>
                <w:sz w:val="11"/>
                <w:szCs w:val="11"/>
                <w:color w:val="auto"/>
              </w:rPr>
              <w:t xml:space="preserve">(93.1 )% </w:t>
            </w:r>
            <w:r>
              <w:rPr>
                <w:rFonts w:ascii="Times New Roman" w:cs="Times New Roman" w:eastAsia="Times New Roman" w:hAnsi="Times New Roman"/>
                <w:sz w:val="18"/>
                <w:szCs w:val="18"/>
                <w:color w:val="auto"/>
                <w:vertAlign w:val="superscript"/>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5,320</w:t>
            </w:r>
          </w:p>
        </w:tc>
        <w:tc>
          <w:tcPr>
            <w:tcW w:w="220" w:type="dxa"/>
            <w:vAlign w:val="bottom"/>
          </w:tcPr>
          <w:p>
            <w:pPr>
              <w:spacing w:after="0"/>
              <w:rPr>
                <w:sz w:val="14"/>
                <w:szCs w:val="14"/>
                <w:color w:val="auto"/>
              </w:rPr>
            </w:pPr>
          </w:p>
        </w:tc>
        <w:tc>
          <w:tcPr>
            <w:tcW w:w="1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42,684</w:t>
            </w:r>
          </w:p>
        </w:tc>
        <w:tc>
          <w:tcPr>
            <w:tcW w:w="200" w:type="dxa"/>
            <w:vAlign w:val="bottom"/>
          </w:tcPr>
          <w:p>
            <w:pPr>
              <w:spacing w:after="0"/>
              <w:rPr>
                <w:sz w:val="14"/>
                <w:szCs w:val="14"/>
                <w:color w:val="auto"/>
              </w:rPr>
            </w:pPr>
          </w:p>
        </w:tc>
        <w:tc>
          <w:tcPr>
            <w:tcW w:w="20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(37,364 )</w:t>
            </w:r>
          </w:p>
        </w:tc>
        <w:tc>
          <w:tcPr>
            <w:tcW w:w="180" w:type="dxa"/>
            <w:vAlign w:val="bottom"/>
          </w:tcPr>
          <w:p>
            <w:pPr>
              <w:spacing w:after="0"/>
              <w:rPr>
                <w:sz w:val="14"/>
                <w:szCs w:val="14"/>
                <w:color w:val="auto"/>
              </w:rPr>
            </w:pPr>
          </w:p>
        </w:tc>
        <w:tc>
          <w:tcPr>
            <w:tcW w:w="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(87.5 )%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2057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111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200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2024, and 2023</w:t>
      </w:r>
    </w:p>
    <w:p>
      <w:pPr>
        <w:spacing w:after="0" w:line="119"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Change in fair value of preferred stock warrant and contingent shares liability decreased by $2.6 million or 98.4% for the three months ended June 30, 2024, as compared to the same period in 2023, primarily due to an increase in the fair value of the Series C convertible preferred stock and contingent shares related to the fSight acquisition. The Series C convertible preferred stock was converted to shares of Common Stock on May 23, 2023, as part of the Business Combination. See Note 3, “Merger with Roth CH Acquisition IV Co.,” of the notes to condensed consolidated financial statements included in Part I, Item 1 of this Quarterly Report on Form 10-Q for additional information.</w:t>
      </w:r>
    </w:p>
    <w:p>
      <w:pPr>
        <w:spacing w:after="0" w:line="182" w:lineRule="exact"/>
        <w:rPr>
          <w:sz w:val="20"/>
          <w:szCs w:val="20"/>
          <w:color w:val="auto"/>
        </w:rPr>
      </w:pPr>
    </w:p>
    <w:p>
      <w:pPr>
        <w:jc w:val="both"/>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change in fair value of derivative liability for the three months ended June 30, 2023, is related to the Convertible Promissory Note which contained conversion options that met the requirements for separate accounting and was accounted for as a convertible note derivative liability. The derivative instrument was recorded at fair value upon recognition on the Merger Date and was subject to remeasurement at the end of the reporting period. On September 24, 2023, we entered into the Convertible Note Amendment (as defined above) with L1 Energy (as defined above) to modify the conversion terms of the Convertible Promissory Note and, as a result of such amendment, the conversion options no longer meet the requirements to be bifurcated in accordance with </w:t>
      </w:r>
      <w:r>
        <w:rPr>
          <w:rFonts w:ascii="Times New Roman" w:cs="Times New Roman" w:eastAsia="Times New Roman" w:hAnsi="Times New Roman"/>
          <w:sz w:val="18"/>
          <w:szCs w:val="18"/>
          <w:i w:val="1"/>
          <w:iCs w:val="1"/>
          <w:color w:val="auto"/>
        </w:rPr>
        <w:t>ASC Topic 815, Derivatives and Hedging</w:t>
      </w:r>
      <w:r>
        <w:rPr>
          <w:rFonts w:ascii="Times New Roman" w:cs="Times New Roman" w:eastAsia="Times New Roman" w:hAnsi="Times New Roman"/>
          <w:sz w:val="18"/>
          <w:szCs w:val="18"/>
          <w:color w:val="auto"/>
        </w:rPr>
        <w:t>. See Note 9, “Long-Term Debt,” of the notes to condensed consolidated financial statements included in Part I, Item 1 of this Quarterly Report on Form 10-Q for additional information.</w:t>
      </w:r>
    </w:p>
    <w:p>
      <w:pPr>
        <w:spacing w:after="0" w:line="187" w:lineRule="exact"/>
        <w:rPr>
          <w:sz w:val="20"/>
          <w:szCs w:val="20"/>
          <w:color w:val="auto"/>
        </w:rPr>
      </w:pPr>
    </w:p>
    <w:p>
      <w:pPr>
        <w:jc w:val="both"/>
        <w:ind w:right="80" w:firstLine="509"/>
        <w:spacing w:after="0" w:line="260" w:lineRule="auto"/>
        <w:rPr>
          <w:sz w:val="20"/>
          <w:szCs w:val="20"/>
          <w:color w:val="auto"/>
        </w:rPr>
      </w:pPr>
      <w:r>
        <w:rPr>
          <w:rFonts w:ascii="Times New Roman" w:cs="Times New Roman" w:eastAsia="Times New Roman" w:hAnsi="Times New Roman"/>
          <w:sz w:val="18"/>
          <w:szCs w:val="18"/>
          <w:color w:val="auto"/>
        </w:rPr>
        <w:t>Interest expense increased by $1.3 million or 80.3% for the three months ended June 30, 2024, as compared to the same period in 2023. This increase is primarily due to the timing of the amortization of the debt discount of $23.5 million that was recorded upon the bifurcation of the conversion options at the time of the Business Combination. Please see Note 9, “Long-Term Debt,” of the notes to condensed consolidated financial statements included in Part I, Item 1 of this Quarterly Report on Form 10-Q for additional information on the conversion options.</w:t>
      </w:r>
    </w:p>
    <w:p>
      <w:pPr>
        <w:spacing w:after="0" w:line="182"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Other income, net decreased $0.7 million or 99.9% for the three months ended June 30, 2024, as compared to the same period in 2023. This is primarily due to a decrease in interest income from the Company’s marketable securities, as the underlying asset base generating interest income decreased during the three months ended June 30, 2024, compared to the same period in 2023.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2023</w:t>
      </w:r>
    </w:p>
    <w:p>
      <w:pPr>
        <w:spacing w:after="0" w:line="119"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Change in fair value of preferred stock warrant and contingent shares liability decreased by $3.3 million or 105.0% for the six months ended June 30, 2024, as compared to the same period in 2023, primarily due to a decrease in mark-to-market expense associated with the contingent shares related to the fSight acquisition.</w:t>
      </w:r>
    </w:p>
    <w:p>
      <w:pPr>
        <w:sectPr>
          <w:pgSz w:w="11900" w:h="16838" w:orient="portrait"/>
          <w:cols w:equalWidth="0" w:num="1">
            <w:col w:w="11320"/>
          </w:cols>
          <w:pgMar w:left="320" w:top="764" w:right="259" w:bottom="1440" w:gutter="0" w:footer="0" w:header="0"/>
        </w:sectPr>
      </w:pPr>
    </w:p>
    <w:p>
      <w:pPr>
        <w:spacing w:after="0" w:line="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764" w:right="2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change in fair value of derivative liability for the six months ended June 30, 2023, is related to the Convertible Promissory Note which contained conversion options that met the requirements for separate accounting and was accounted for as a convertible note derivative liability. The derivative instrument was recorded at fair value upon recognition on the Merger Date and was subject to remeasurement at the end of the reporting period. On September 24, 2023, we entered into the Convertible Note Amendment (as defined above) with L1 Energy (as defined above) to modify the conversion terms of the Convertible Promissory Note and, as a result of such amendment, the conversion options no longer meet the requirements to be bifurcated in accordance with </w:t>
      </w:r>
      <w:r>
        <w:rPr>
          <w:rFonts w:ascii="Times New Roman" w:cs="Times New Roman" w:eastAsia="Times New Roman" w:hAnsi="Times New Roman"/>
          <w:sz w:val="18"/>
          <w:szCs w:val="18"/>
          <w:i w:val="1"/>
          <w:iCs w:val="1"/>
          <w:color w:val="auto"/>
        </w:rPr>
        <w:t>ASC Topic 815, Derivatives and Hedging</w:t>
      </w:r>
      <w:r>
        <w:rPr>
          <w:rFonts w:ascii="Times New Roman" w:cs="Times New Roman" w:eastAsia="Times New Roman" w:hAnsi="Times New Roman"/>
          <w:sz w:val="18"/>
          <w:szCs w:val="18"/>
          <w:color w:val="auto"/>
        </w:rPr>
        <w:t>. See Note 9, “Long-Term Debt,” of the notes to condensed consolidated financial statements included in Part I, Item 1 of this Quarterly Report on Form 10-Q for additional information.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loss on debt extinguishment for the six months ended June 30, 2023, is primarily related to the repayment of our Series 2022-1 Notes.</w:t>
      </w:r>
    </w:p>
    <w:p>
      <w:pPr>
        <w:spacing w:after="0" w:line="225"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Interest expense increased by $3.3 million or 140.5% for the six months ended June 30, 2024, as compared to the same period in 2023. This increase is primarily due to the timing of the amortization of the debt discount of $23.5 million that was recorded upon the bifurcation of the conversion options at the time of the Business Combination. Please see Note 9, “Long-Term Debt,” of the notes to condensed consolidated financial statements included in Part I, Item 1 of this Quarterly Report on Form 10-Q for additional information on the conversion options.</w:t>
      </w:r>
    </w:p>
    <w:p>
      <w:pPr>
        <w:spacing w:after="0" w:line="182"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Other income, net decreased $1.0 million or 82.6% for the six months ended June 30, 2024, as compared to the same period in 2023. This is primarily due to a decrease in interest income from the Company’s marketable securities, as the underlying asset base generating interest income decreased during the six months ended June 30, 2024, compared to the same period in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52"/>
        </w:trPr>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87"/>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r>
      <w:tr>
        <w:trPr>
          <w:trHeight w:val="228"/>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40" w:type="dxa"/>
            <w:vAlign w:val="bottom"/>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(10,933 )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(100.1 )%$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(10,933 )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-147955</wp:posOffset>
            </wp:positionV>
            <wp:extent cx="7055485"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55485" cy="15430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and six months ended June 30, 2024, and 2023</w:t>
      </w:r>
    </w:p>
    <w:p>
      <w:pPr>
        <w:spacing w:after="0" w:line="119"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Income taxes increased $10.9 million to an income tax expense of $16,000 for the three and six months ended June 30, 2024, compared to an income tax benefit of $10.9 million for the three and six months ended June 30, 2023, primarily due to the release of the valuation allowance against the Company’s U.S. federal net deferred taxes during the second quarter of 2023. Please see Note 15, “Income Taxes,” of the notes to condensed consolidated financial statements included in Part I, Item 1 of this Quarterly Report on Form 10-Q for additional information on the valuation allowance release during the second quarter of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restricted cash and marketable securities. As of June 30, 2024, the Company held $20.4 million in cash, cash equivalents, restricted cash and marketable securities which were held primarily for working capital purposes. Our working capital, which we define as current assets less current liabilities, decreased by $10.7 million to $67.6 million as of June 30, 2024, compared to $78.3 million as of December 31, 2023. The decrease in working capital during this period is primarily attributable to lower marketable securities and inventory balances and is partially offset by a decrease in accounts payable and accrued expenses and other current liabilities. Revenues stabilized on a sequential quarter basis in both the first and second quarters of 2024 but declined on a year over year basis. While we have been actively working on reducing our inventory levels, these efforts will depend on our ability to increase future quarterly revenues, maintain a minimal level of inventory purchases with suppliers, and our ability to recover the book value of inventory. In the first half of 2024, we reduced our inventory levels by $10.1 million from December 31, 2023, and expect lower inventory levels and positive working capital cash conversion throughout the remainder of 2024. We believe that our cash position is sufficient to meet our capital and liquidity requirements for at least the next 12 months from the filing date of this Quarterly Report on Form 10-Q.</w:t>
      </w:r>
    </w:p>
    <w:p>
      <w:pPr>
        <w:spacing w:after="0" w:line="191"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future, our ability to sustain operations and invest in new technologies may necessitate seeking additional equity or debt financing. Our capital needs will be influenced by several factors, including our revenue growth rate, the success of our future product development and capital investments, and the timing and extent of spending to support further sales and marketing and research and development efforts. In addition, we have incurred and expect to continue to incur additional costs as a result of operating as a public company. In the event that additional financing is required from outside sources, we cannot be certain that any additional financing will</w:t>
      </w:r>
    </w:p>
    <w:p>
      <w:pPr>
        <w:spacing w:after="0" w:line="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be available to us on acceptable terms, or at all. If we are required but unable to raise additional capital or generate cash flows to sustain or expand our business, our business, operating results, and financial condition could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7"/>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(12,872 )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(4,934 )</w:t>
            </w: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(52,124 )</w:t>
            </w:r>
          </w:p>
        </w:tc>
      </w:tr>
      <w:tr>
        <w:trPr>
          <w:trHeight w:val="24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(25,992 )</w:t>
            </w: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interest rates, inflation or the supply chain, including timing of cash collections from customers and other risks which are detailed in the section entitled “Cautionary Note Regarding Forward-Looking Statements” included elsewhere in this Quarterly Report on Form 10-Q, including in Part II, Item 1A, “Risk Factors” of this Quarterly Report on Form 10-Q and in Part I, Item 1A, “Risk Factors” in the 2023 Annual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cash flows consists primarily of net loss adjusted for certain non-cash items and changes in operating assets and liabilities. Cash used in operating activities increased by $7.9 million in the six months ended June 30, 2024, as compared to the same period in 2023, primarily due to an increased net loss for the six months ended June 30, 2024 compared to the same period in 2023, which is a result of the negative macroeconomic factors that are noted above, in addition to an increase in non-cash items during the six months ended June 30, 2023, primarily due to the change in fair value of the derivative liability, contingent shares liability and preferred stock warrants.</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increase in net cash used in operating activities was partially offset by increases in non-cash items during the six months ended June 30, 2024, related to stock-based compensation and accretion of interest expense, in addition to the deferred tax benefit that was recorded during the six months ended June 30, 2023.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(Used in) Investing Activities</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investing activities was $23.4 million for the six months ended June 30, 2024, which is primarily attributable to the sale and maturities of marketable securities. Net cash used in investing activities was $52.1 million for the six months ended June 30, 2023, which is primarily attributable to the purchase of marketable securities and property and equipment.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increased by $30.8 million in the six months ended June 30, 2024, compared to the same period in 2023. For the six months ended June 30, 2024, the Company received proceeds of $0.3 million from the exercise of stock options by employees. For the six months ended June 30, 2023, the Company received proceeds of $50.0 million from the Convertible Promissory Note and proceeds of $2.2 million from the Business Combination, which was partially offset by the $20.8 million repayment of the Series 2022-1 Notes.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contractual obligations primarily consist of our Convertible Promissory Note, obligations under operating leases and inventory component purchases. As of June 30, 2024, there have been no material changes from our disclosure in our 2023 Annual Report. For more information on our future minimum operating leases, see Note 13, “Leases” and for more information on our Convertible Promissory Notes and other related debt, see Note 9, “Long-Term Debt,” of the notes to condensed consolidated financial statements included in Part I, Item 1 of this Quarterly Report on Form 10-Q.</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periods presented, the Company did not have any off-balance sheet arrangements.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For the period ended June 30, 2024, there have been no material changes to our critical accounting estimates from the information reported in our 2023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(the “Exchange Act”), the Company is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of June 30, 2024, as defined in Rules 13a-15(e) and 15d-15(e) under the Securities Exchange Act of 1934, as amended (the “Exchange Act”).</w:t>
      </w:r>
    </w:p>
    <w:p>
      <w:pPr>
        <w:spacing w:after="0" w:line="17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effective as of June 30,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three months ended June 30, 2024,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disclosed in the section entitled “Risk Factors” in Part I, Item 1A, of the Company’s 2023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 except the following: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elections and political uncertainty may have an adverse impact on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discussed in the Company’s 2023 Annual Report, we are subject to various legal, compliance and regulatory risks in numerous jurisdictions throughout the world. These risks include the availability of economic incentives in certain geographic regions in which the Company operates. Future elections in various countries, including the United States and throughout Europe, may further increase these risks. The elections could result in shifts in domestic, foreign, and economic policy approaches, and uncertainty with respect to, regulation and legislation directly affecting the Company and our business environment, including tax incentives or potential tariffs that could directly affect the solar industry. Actions taken by new administrations may have an adverse impact on our industry and business or may indirectly affect us because of adverse impacts on our customers, suppliers and manufacturers, which could result in a material adverse effect on our business, financial condition, results of operations and future growth.</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8"/>
        </w:trPr>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90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20" w:type="dxa"/>
            <w:vAlign w:val="bottom"/>
          </w:tcPr>
          <w:p>
            <w:pPr>
              <w:spacing w:after="0"/>
              <w:rPr>
                <w:sz w:val="15"/>
                <w:szCs w:val="15"/>
                <w:color w:val="auto"/>
              </w:rPr>
            </w:pPr>
          </w:p>
        </w:tc>
        <w:tc>
          <w:tcPr>
            <w:tcW w:w="1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5"/>
                <w:szCs w:val="15"/>
                <w:color w:val="auto"/>
              </w:rPr>
            </w:pPr>
          </w:p>
        </w:tc>
        <w:tc>
          <w:tcPr>
            <w:tcW w:w="9080" w:type="dxa"/>
            <w:vAlign w:val="bottom"/>
            <w:gridSpan w:val="12"/>
          </w:tcPr>
          <w:p>
            <w:pPr>
              <w:spacing w:after="0" w:line="17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Second Amended and Restated Certificate of Incorporation of Tigo Energy, Inc. (incorporated by reference</w:t>
              </w:r>
            </w:hyperlink>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20" w:type="dxa"/>
            <w:vAlign w:val="bottom"/>
            <w:tcBorders>
              <w:top w:val="single" w:sz="8" w:color="0000FF"/>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to Exhibit 3.1 to the Company’s Current Report on Form 8-K, filed with the SEC on May 30, 2023).</w:t>
              </w:r>
            </w:hyperlink>
          </w:p>
        </w:tc>
        <w:tc>
          <w:tcPr>
            <w:tcW w:w="480" w:type="dxa"/>
            <w:vAlign w:val="bottom"/>
            <w:tcBorders>
              <w:top w:val="single" w:sz="8" w:color="0000FF"/>
            </w:tcBorders>
          </w:tcPr>
          <w:p>
            <w:pPr>
              <w:spacing w:after="0"/>
              <w:rPr>
                <w:sz w:val="17"/>
                <w:szCs w:val="17"/>
                <w:color w:val="auto"/>
              </w:rPr>
            </w:pPr>
          </w:p>
        </w:tc>
        <w:tc>
          <w:tcPr>
            <w:tcW w:w="1380" w:type="dxa"/>
            <w:vAlign w:val="bottom"/>
            <w:gridSpan w:val="2"/>
          </w:tcPr>
          <w:p>
            <w:pPr>
              <w:spacing w:after="0"/>
              <w:rPr>
                <w:sz w:val="17"/>
                <w:szCs w:val="17"/>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71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Amended and Restated Bylaws of Tigo Energy, Inc. (incorporated by reference to Exhibit 3.2 to the</w:t>
              </w:r>
            </w:hyperlink>
          </w:p>
        </w:tc>
        <w:tc>
          <w:tcPr>
            <w:tcW w:w="1900" w:type="dxa"/>
            <w:vAlign w:val="bottom"/>
            <w:gridSpan w:val="4"/>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4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Company’s Current Report on Form 8-K, filed with the SEC on May 30, 2023).</w:t>
              </w:r>
            </w:hyperlink>
          </w:p>
        </w:tc>
        <w:tc>
          <w:tcPr>
            <w:tcW w:w="20" w:type="dxa"/>
            <w:vAlign w:val="bottom"/>
            <w:tcBorders>
              <w:bottom w:val="single" w:sz="8" w:color="0000EE"/>
            </w:tcBorders>
          </w:tcPr>
          <w:p>
            <w:pPr>
              <w:spacing w:after="0"/>
              <w:rPr>
                <w:sz w:val="17"/>
                <w:szCs w:val="17"/>
                <w:color w:val="auto"/>
              </w:rPr>
            </w:pPr>
          </w:p>
        </w:tc>
        <w:tc>
          <w:tcPr>
            <w:tcW w:w="3320" w:type="dxa"/>
            <w:vAlign w:val="bottom"/>
            <w:gridSpan w:val="5"/>
          </w:tcPr>
          <w:p>
            <w:pPr>
              <w:spacing w:after="0"/>
              <w:rPr>
                <w:sz w:val="17"/>
                <w:szCs w:val="17"/>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88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Tigo Energy, Inc. Independent Director Compensation Policy (incorporated by reference to Exhibit 10.1 to the Company’s</w:t>
              </w:r>
            </w:hyperlink>
          </w:p>
        </w:tc>
        <w:tc>
          <w:tcPr>
            <w:tcW w:w="2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80" w:type="dxa"/>
            <w:vAlign w:val="bottom"/>
            <w:gridSpan w:val="12"/>
          </w:tcPr>
          <w:p>
            <w:pPr>
              <w:spacing w:after="0" w:line="195"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Current Report on Form 10-Q, filed with the SEC on May 14, 2024).</w:t>
              </w:r>
            </w:hyperlink>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5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13a-14(a)/15d-14(a)</w:t>
            </w:r>
          </w:p>
        </w:tc>
        <w:tc>
          <w:tcPr>
            <w:tcW w:w="3460" w:type="dxa"/>
            <w:vAlign w:val="bottom"/>
            <w:gridSpan w:val="8"/>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r>
      <w:tr>
        <w:trPr>
          <w:trHeight w:val="20"/>
        </w:trPr>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5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13a-14(b)/15d-14(b)</w:t>
            </w:r>
          </w:p>
        </w:tc>
        <w:tc>
          <w:tcPr>
            <w:tcW w:w="3440" w:type="dxa"/>
            <w:vAlign w:val="bottom"/>
            <w:gridSpan w:val="7"/>
          </w:tcPr>
          <w:p>
            <w:pPr>
              <w:spacing w:after="0"/>
              <w:rPr>
                <w:sz w:val="18"/>
                <w:szCs w:val="18"/>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13a-14(b)/15d-14(b)</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0"/>
                <w:szCs w:val="20"/>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w:t>
            </w: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19"/>
                <w:szCs w:val="19"/>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2160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Tigo Energy, Inc.</w:t>
      </w:r>
    </w:p>
    <w:p>
      <w:pPr>
        <w:spacing w:after="0" w:line="251"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Bill Roeschlein</w:t>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-125095</wp:posOffset>
            </wp:positionV>
            <wp:extent cx="32619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9" w:name="page40"/>
    <w:bookmarkEnd w:id="3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Zvi Alon, certify that:</w:t>
      </w:r>
    </w:p>
    <w:p>
      <w:pPr>
        <w:spacing w:after="0" w:line="225"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Tigo Energy, Inc.;</w:t>
      </w:r>
    </w:p>
    <w:p>
      <w:pPr>
        <w:spacing w:after="0" w:line="224"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Zvi Alon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0" w:name="page41"/>
    <w:bookmarkEnd w:id="4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Bill Roeschlein, certify that:</w:t>
      </w:r>
    </w:p>
    <w:p>
      <w:pPr>
        <w:spacing w:after="0" w:line="225"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Tigo Energy, Inc.;</w:t>
      </w:r>
    </w:p>
    <w:p>
      <w:pPr>
        <w:spacing w:after="0" w:line="224"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3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Bill Roeschlein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Tigo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quarter ended June 30,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Zvi Alon, Chief Executive Officer of the Company, certify, pursuant to 18 U.S.C. Section 1350, as adopted pursuant to Section 906 of the Sarbanes-Oxley Act of 2002, that, to the best of my knowledge:</w:t>
      </w:r>
    </w:p>
    <w:p>
      <w:pPr>
        <w:spacing w:after="0" w:line="177" w:lineRule="exact"/>
        <w:rPr>
          <w:sz w:val="20"/>
          <w:szCs w:val="20"/>
          <w:color w:val="auto"/>
        </w:rPr>
      </w:pPr>
    </w:p>
    <w:p>
      <w:pPr>
        <w:ind w:left="720" w:hanging="35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right="80" w:firstLine="366"/>
        <w:spacing w:after="0" w:line="508" w:lineRule="auto"/>
        <w:tabs>
          <w:tab w:leader="none" w:pos="7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6, 2024</w:t>
      </w:r>
    </w:p>
    <w:p>
      <w:pPr>
        <w:ind w:left="5640"/>
        <w:spacing w:after="0"/>
        <w:rPr>
          <w:sz w:val="20"/>
          <w:szCs w:val="20"/>
          <w:color w:val="auto"/>
        </w:rPr>
      </w:pPr>
      <w:r>
        <w:rPr>
          <w:rFonts w:ascii="Times New Roman" w:cs="Times New Roman" w:eastAsia="Times New Roman" w:hAnsi="Times New Roman"/>
          <w:sz w:val="18"/>
          <w:szCs w:val="18"/>
          <w:color w:val="auto"/>
        </w:rPr>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Zvi Alon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Tigo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quarter ended June 30,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Bill Roeschlein, Chief Financial Officer of the Company, certify, pursuant to 18 U.S.C. Section 1350, as adopted pursuant to Section 906 of the Sarbanes-Oxley Act of 2002, that, to the best of my knowledge:</w:t>
      </w:r>
    </w:p>
    <w:p>
      <w:pPr>
        <w:spacing w:after="0" w:line="177" w:lineRule="exact"/>
        <w:rPr>
          <w:sz w:val="20"/>
          <w:szCs w:val="20"/>
          <w:color w:val="auto"/>
        </w:rPr>
      </w:pPr>
    </w:p>
    <w:p>
      <w:pPr>
        <w:ind w:left="720" w:hanging="35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right="80" w:firstLine="366"/>
        <w:spacing w:after="0" w:line="508" w:lineRule="auto"/>
        <w:tabs>
          <w:tab w:leader="none" w:pos="7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6, 2024</w:t>
      </w:r>
    </w:p>
    <w:p>
      <w:pPr>
        <w:ind w:left="5640"/>
        <w:spacing w:after="0"/>
        <w:rPr>
          <w:sz w:val="20"/>
          <w:szCs w:val="20"/>
          <w:color w:val="auto"/>
        </w:rPr>
      </w:pP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Bill Roeschlein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1."/>
      <w:numFmt w:val="decimal"/>
      <w:start w:val="6"/>
    </w:lvl>
  </w:abstractNum>
  <w:abstractNum w:abstractNumId="11">
    <w:nsid w:val="257130A3"/>
    <w:multiLevelType w:val="hybridMultilevel"/>
    <w:lvl w:ilvl="0">
      <w:lvlJc w:val="left"/>
      <w:lvlText w:val="%1."/>
      <w:numFmt w:val="decimal"/>
      <w:start w:val="7"/>
    </w:lvl>
  </w:abstractNum>
  <w:abstractNum w:abstractNumId="12">
    <w:nsid w:val="62BBD95A"/>
    <w:multiLevelType w:val="hybridMultilevel"/>
    <w:lvl w:ilvl="0">
      <w:lvlJc w:val="left"/>
      <w:lvlText w:val="%1."/>
      <w:numFmt w:val="decimal"/>
      <w:start w:val="8"/>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3"/>
    </w:lvl>
  </w:abstractNum>
  <w:abstractNum w:abstractNumId="19">
    <w:nsid w:val="6763845E"/>
    <w:multiLevelType w:val="hybridMultilevel"/>
    <w:lvl w:ilvl="0">
      <w:lvlJc w:val="left"/>
      <w:lvlText w:val="%1."/>
      <w:numFmt w:val="decimal"/>
      <w:start w:val="14"/>
    </w:lvl>
  </w:abstractNum>
  <w:abstractNum w:abstractNumId="20">
    <w:nsid w:val="75A2A8D4"/>
    <w:multiLevelType w:val="hybridMultilevel"/>
    <w:lvl w:ilvl="0">
      <w:lvlJc w:val="left"/>
      <w:lvlText w:val="%1."/>
      <w:numFmt w:val="decimal"/>
      <w:start w:val="15"/>
    </w:lvl>
  </w:abstractNum>
  <w:abstractNum w:abstractNumId="21">
    <w:nsid w:val="8EDBDAB"/>
    <w:multiLevelType w:val="hybridMultilevel"/>
    <w:lvl w:ilvl="0">
      <w:lvlJc w:val="left"/>
      <w:lvlText w:val="%1."/>
      <w:numFmt w:val="decimal"/>
      <w:start w:val="16"/>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17" Type="http://schemas.openxmlformats.org/officeDocument/2006/relationships/hyperlink" Target="https://www.sec.gov/Archives/edgar/data/1855447/000121390023044099/ea179362ex3-1_tigoenergy.htm" TargetMode="External"/><Relationship Id="rId318" Type="http://schemas.openxmlformats.org/officeDocument/2006/relationships/hyperlink" Target="https://www.sec.gov/Archives/edgar/data/1855447/000121390023044099/ea179362ex3-2_tigoenergy.htm" TargetMode="External"/><Relationship Id="rId319" Type="http://schemas.openxmlformats.org/officeDocument/2006/relationships/hyperlink" Target="https://www.sec.gov/Archives/edgar/data/1855447/000095017024059479/tyg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2024-08-06T15:36:41Z</dcterms:created>
  <dcterms:modified xsi:type="dcterms:W3CDTF">2024-08-06T15:36:41Z</dcterms:modified>
</cp:coreProperties>
</file>