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183124-s8_tigoenergy.htm"/>
      <w:bookmarkStart w:id="1" w:name="ksea183124s8_tigoenergy"/>
      <w:bookmarkEnd w:id="0"/>
      <w:bookmarkEnd w:id="1"/>
      <w:r>
        <w:rPr>
          <w:rFonts w:ascii="Times New Roman;Times;Serif" w:hAnsi="Times New Roman;Times;Serif"/>
          <w:b/>
          <w:i w:val="false"/>
          <w:caps w:val="false"/>
          <w:smallCaps w:val="false"/>
          <w:sz w:val="20"/>
        </w:rPr>
        <w:t>As filed with the Securities and Exchange Commission on August 10, 2023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S-8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REGISTRATION STATEMENT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UNDER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TIGO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b/>
                <w:sz w:val="20"/>
              </w:rPr>
            </w:pPr>
            <w:r>
              <w:rPr>
                <w:b/>
                <w:sz w:val="20"/>
              </w:rPr>
              <w:t>83-3583873</w:t>
            </w:r>
          </w:p>
        </w:tc>
      </w:tr>
      <w:tr>
        <w:trPr/>
        <w:tc>
          <w:tcPr>
            <w:tcW w:w="2660"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b/>
                <w:sz w:val="20"/>
              </w:rPr>
            </w:pPr>
            <w:r>
              <w:rPr>
                <w:b/>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 Campbell Technology Parkway, Suite 150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Campbell, California 95008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Offices)(Zip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 2008 Stock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Tigo Energy, Inc. Amended and Restated 2018 Stock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Tigo Energy, Inc. 2023 Incentive Plan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title of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Bill Roeschlein</w:t>
        <w:br/>
        <w:t>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 Campbell Technology Parkway, Suite 150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Campbell, California 95008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address of agent for service)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(408) 402-0802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number, including area code, of agent for service)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Colin Diamond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Laura Katherine Mann</w:t>
        <w:br/>
        <w:t>White &amp; Case LLP</w:t>
        <w:br/>
        <w:t>609 Main Street</w:t>
        <w:br/>
        <w:t>Houston, Texas 77002</w:t>
        <w:br/>
        <w:t>(713) 496-9700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NOTE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 (f/k/a Roth CH Acquisition IV Co.) (the “Company” or the “Registrant”) has filed with the Securities and Exchange Commission (the “SEC”) this registration statement on Form S-8 (this “Registration Statement”) to register under the Securities Act of 1933, as amended (the “Securities Act”) the following shares of common stock, par value $0.0001 (the “Common Stock”),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offer and sale of 1,507,407 shares of Common Stock underlying certain outstanding stock options previously granted under the Tigo Energy, Inc. 2008 Stock Plan (the “Legacy Tigo 2008 Plan”); </w:t>
            </w:r>
          </w:p>
        </w:tc>
      </w:tr>
      <w:tr>
        <w:trPr/>
        <w:tc>
          <w:tcPr>
            <w:tcW w:w="231" w:type="dxa"/>
            <w:tcBorders/>
            <w:vAlign w:val="center"/>
          </w:tcPr>
          <w:p>
            <w:pPr>
              <w:pStyle w:val="TableContents"/>
              <w:bidi w:val="0"/>
              <w:spacing w:before="0" w:after="283"/>
              <w:jc w:val="both"/>
              <w:rPr/>
            </w:pPr>
            <w:r>
              <w:rPr/>
              <w:t> </w:t>
            </w:r>
          </w:p>
        </w:tc>
        <w:tc>
          <w:tcPr>
            <w:tcW w:w="9974" w:type="dxa"/>
            <w:tcBorders/>
            <w:vAlign w:val="center"/>
          </w:tcPr>
          <w:p>
            <w:pPr>
              <w:pStyle w:val="TableContents"/>
              <w:bidi w:val="0"/>
              <w:spacing w:before="0" w:after="283"/>
              <w:jc w:val="both"/>
              <w:rPr/>
            </w:pPr>
            <w:r>
              <w:rPr/>
              <w:t> </w:t>
            </w:r>
          </w:p>
        </w:tc>
      </w:tr>
      <w:tr>
        <w:trPr/>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offer and sale of 2,814,375 shares of Common Stock underlying certain outstanding stock options previously granted under the Tigo Energy, Inc. Amended and Restated 2018 Stock Plan (the “Legacy Tigo 2018 Plan”); </w:t>
            </w:r>
          </w:p>
        </w:tc>
      </w:tr>
      <w:tr>
        <w:trPr/>
        <w:tc>
          <w:tcPr>
            <w:tcW w:w="231" w:type="dxa"/>
            <w:tcBorders/>
            <w:vAlign w:val="center"/>
          </w:tcPr>
          <w:p>
            <w:pPr>
              <w:pStyle w:val="TableContents"/>
              <w:bidi w:val="0"/>
              <w:spacing w:before="0" w:after="283"/>
              <w:jc w:val="both"/>
              <w:rPr/>
            </w:pPr>
            <w:r>
              <w:rPr/>
              <w:t> </w:t>
            </w:r>
          </w:p>
        </w:tc>
        <w:tc>
          <w:tcPr>
            <w:tcW w:w="9974" w:type="dxa"/>
            <w:tcBorders/>
            <w:vAlign w:val="center"/>
          </w:tcPr>
          <w:p>
            <w:pPr>
              <w:pStyle w:val="TableContents"/>
              <w:bidi w:val="0"/>
              <w:spacing w:before="0" w:after="283"/>
              <w:jc w:val="both"/>
              <w:rPr/>
            </w:pPr>
            <w:r>
              <w:rPr/>
              <w:t> </w:t>
            </w:r>
          </w:p>
        </w:tc>
      </w:tr>
      <w:tr>
        <w:trPr/>
        <w:tc>
          <w:tcPr>
            <w:tcW w:w="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offer and sale of 6,758,722 shares of Common Stock reserved for issuance under the Tigo Energy, Inc. 2023 Incentive Plan (the “New Tigo Plan);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reoffer and resale of 2,153,883 shares of Common Stock (the “Reoffer Prospectus Shares”) previously granted to the selling security holders named herein (the “Selling Stockholders”) pursuant to stock options granted under the Legacy Tigo 2008 Plan, Legacy Tigo 2018 Plan and the New Tigo Plan, including outstanding stock options for which the initial sale upon exercise is also registered on this Registration Statement. </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underlying outstanding stock options registered for offer or sale and the Reoffer Prospectus Shares were granted under the Legacy Tigo 2008 Plan, Legacy Tigo 2018 Plan and the New Tigo Plan to employees or executive officers, including the Selling Stockholders, of Tigo Energy MergeCo, Inc. (f/k/a Tigo Energy, Inc.), a Delaware corporation (“Legacy Tigo”), before its acquisition by the Company in the business combination (the “Business Combination”) between the Company, Legacy Tigo and Merger Sub (as defined in the Reoffer Prospectus). The New Tigo Plan was adopted in connection with the Business Combination. The inclusion of the Reoffer Prospectus Shares herein does not necessarily represent a present intention to sell any or all such shares of Common Stock.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this Registration Statement also covers any additional shares of Common Stock that become issuable under the Legacy Tigo 2008 Plan, the Legacy Tigo 2018 Plan or the New Tigo Plan, as applicable, as a result of anti-dilution provisions described therein by reason of any dividend, share split, recapitalization or other similar transaction.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includes a prospectus (the “Reoffer Prospectus”) with respect to the Reoffer Prospectus Shares, the reoffer and resale of which are registered hereunder. The Reoffer Prospectus is prepared in accordance with General Instruction C of Form S-8 and the requirements of Part I of Form S-3. This Reoffer Prospectus permits reoffers and resales on a continuous or delayed basis of the Reoffer Prospectus Shares. As specified in General Instruction C of Form S-8, the amount of securities to be reoffered or resold under the Reoffer Prospectus by each selling security holder and any other person with whom they are acting in concert for the purpose of selling the Company’s securities, may not exceed, during any three-month period, the amount specified in Rule 144(e) under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SECTION 10(a) PROSPECTUS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 Registrant Information and Employee Plan Annual Information.*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of this Registration Statement will be sent or given to each participant in the Legacy Tigo 2008 Plan, the Legacy Tigo 2018 Plan or the New Tigo Plan, as applicable, as required by Rule 428(b) under the Securities Act. Such documents are not required to be and are not being filed with the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REOFFER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2,153,883 Shares of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Offered by Selling Stockholders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reoffer prospectus (the “Reoffer Prospectus”) relates to the offer and sale from time to time by certain selling stockholders named in this Reoffer Prospectus (the “Selling Stockholders”), or their permitted transferees, of up to 2,153,883 shares of common stock, par value $0.0001 (the “Common Stock”), of Tigo Energy, Inc., a Delaware corporation (f/k/a Roth CH Acquisition IV Co.) (unless otherwise indicated or the context otherwise requires, the “Company,” “we,” “our” or “us”). This Reoffer Prospectus covers the offer and sale by the Selling Stockholders of up to 2,153,883 shares of Common Stock previously granted under stock options granted to the Selling Stockholders pursuant to the Tigo Energy, Inc. 2008 Stock Plan (the “Legacy Tigo 2008 Plan”), the Tigo Energy, Inc. Amended and Restated 2018 Stock Plan (the “Legacy Tigo 2018 Plan”) and the Tigo Energy, Inc. 2023 Incentive Plan (the “New Tigo Plan). All such stock options were granted under the Legacy Tigo 2008 Plan and the Legacy Tigo 2018 Plan, as applicable, to the Selling Stockholders as executive officers or directors, as applicable, of Tigo Energy MergeCo, Inc. (f/k/a Tigo Energy, Inc.), a Delaware corporation (“Legacy Tigo”), before its acquisition by the Company in the business combination (the “Business Combination”) between the Company, Legacy Tigo and Roth IV Merger Sub Inc., a wholly owned subsidiary of the Company (“Merger Sub”).</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offering any shares of Common Stock and will not receive any proceeds from the sale of the shares of Common Stock by the Selling Stockholders pursuant to this Reoffer Prospectus. The Selling Stockholders are “affiliates” of the Company (as defined in Rule 405 under the Securities Act of 1933, as amended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other restrictions on them, the Selling Stockholders may from time to time (including in the case of shares of Common Stock offered hereby under stock options, upon vesting and/or exercise) sell, transfer or otherwise dispose of any or all of the shares of Common Stock covered by this Reoffer Prospectus in various types of transactions, including through underwriters or dealers, directly to purchasers (or a single purchaser) or through broker-dealers or agents. If underwriters or dealers are used to sell the shares of Common Stock, we will name them and describe their compensation in a prospectus supplement. The shares of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Common Stock for sale. The Selling Stockholders may sell any, all or none of the shares of Common Stock offered by this Reoffer Prospectus.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5  for more information about how the Selling Stockholders may sell or dispose of the shares of Common Stock covered by this Reoffer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their sale under this Reoffer Prospectus, the shares of Common Stock covered by this Reoffer Prospectus are “control securities” or “restricted securities,” within the meaning of Instruction C to Form S-8 under the Securities Act. This Reoffer Prospectus has been prepared for the purposes of registering the shares of Common Stock under the Securities Act to allow for future sales by the Selling Stockholders on a continuous or delayed basis to the public without restriction.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(“Nasdaq”) under the symbol “TYGO.” On August 9, 2023, the closing price of our Common Stock was $12.01 per share.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 are an “emerging growth company” as defined under the federal securities laws, and, as such, we are subject to reduced public company reporting requirements.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section on page 2 of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this Reoffer Prospectus.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 securities to be issued under this Reoffer Prospectus or determined if this Reoffer Prospectus is truthful or complete. Any representation to the contrary is a criminal offense.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10,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245"/>
        <w:gridCol w:w="155"/>
      </w:tblGrid>
      <w:tr>
        <w:trPr/>
        <w:tc>
          <w:tcPr>
            <w:tcW w:w="6245" w:type="dxa"/>
            <w:tcBorders/>
            <w:shd w:fill="CCEEFF" w:val="clear"/>
            <w:vAlign w:val="center"/>
          </w:tcPr>
          <w:p>
            <w:pPr>
              <w:pStyle w:val="TableContents"/>
              <w:bidi w:val="0"/>
              <w:spacing w:before="0" w:after="283"/>
              <w:ind w:left="0" w:right="0" w:hanging="200"/>
              <w:jc w:val="left"/>
              <w:rPr/>
            </w:pPr>
            <w:hyperlink w:anchor="a_001">
              <w:r>
                <w:rPr>
                  <w:rStyle w:val="InternetLink"/>
                  <w:sz w:val="20"/>
                </w:rPr>
                <w:t>CAUTIONARY NOTE REGARDING FORWARD-LOOKING STATEMENTS</w:t>
              </w:r>
            </w:hyperlink>
          </w:p>
        </w:tc>
        <w:tc>
          <w:tcPr>
            <w:tcW w:w="155" w:type="dxa"/>
            <w:tcBorders/>
            <w:shd w:fill="CCEEFF" w:val="clear"/>
            <w:vAlign w:val="center"/>
          </w:tcPr>
          <w:p>
            <w:pPr>
              <w:pStyle w:val="TableContents"/>
              <w:bidi w:val="0"/>
              <w:spacing w:before="0" w:after="283"/>
              <w:jc w:val="center"/>
              <w:rPr>
                <w:sz w:val="20"/>
              </w:rPr>
            </w:pPr>
            <w:r>
              <w:rPr>
                <w:sz w:val="20"/>
              </w:rPr>
              <w:t>ii</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2">
              <w:r>
                <w:rPr>
                  <w:rStyle w:val="InternetLink"/>
                  <w:sz w:val="20"/>
                </w:rPr>
                <w:t>PROSPECTUS SUMMARY</w:t>
              </w:r>
            </w:hyperlink>
          </w:p>
        </w:tc>
        <w:tc>
          <w:tcPr>
            <w:tcW w:w="155" w:type="dxa"/>
            <w:tcBorders/>
            <w:shd w:fill="CCEEFF" w:val="clear"/>
            <w:vAlign w:val="center"/>
          </w:tcPr>
          <w:p>
            <w:pPr>
              <w:pStyle w:val="TableContents"/>
              <w:bidi w:val="0"/>
              <w:spacing w:before="0" w:after="283"/>
              <w:jc w:val="center"/>
              <w:rPr>
                <w:sz w:val="20"/>
              </w:rPr>
            </w:pPr>
            <w:r>
              <w:rPr>
                <w:sz w:val="20"/>
              </w:rPr>
              <w:t>1</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3">
              <w:r>
                <w:rPr>
                  <w:rStyle w:val="InternetLink"/>
                  <w:sz w:val="20"/>
                </w:rPr>
                <w:t>RISK FACTORS</w:t>
              </w:r>
            </w:hyperlink>
          </w:p>
        </w:tc>
        <w:tc>
          <w:tcPr>
            <w:tcW w:w="155" w:type="dxa"/>
            <w:tcBorders/>
            <w:shd w:fill="CCEEFF" w:val="clear"/>
            <w:vAlign w:val="center"/>
          </w:tcPr>
          <w:p>
            <w:pPr>
              <w:pStyle w:val="TableContents"/>
              <w:bidi w:val="0"/>
              <w:spacing w:before="0" w:after="283"/>
              <w:jc w:val="center"/>
              <w:rPr>
                <w:sz w:val="20"/>
              </w:rPr>
            </w:pPr>
            <w:r>
              <w:rPr>
                <w:sz w:val="20"/>
              </w:rPr>
              <w:t>2</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4">
              <w:r>
                <w:rPr>
                  <w:rStyle w:val="InternetLink"/>
                  <w:sz w:val="20"/>
                </w:rPr>
                <w:t>DETERMINATION OF OFFERING PRICE</w:t>
              </w:r>
            </w:hyperlink>
          </w:p>
        </w:tc>
        <w:tc>
          <w:tcPr>
            <w:tcW w:w="155" w:type="dxa"/>
            <w:tcBorders/>
            <w:shd w:fill="CCEEFF" w:val="clear"/>
            <w:vAlign w:val="center"/>
          </w:tcPr>
          <w:p>
            <w:pPr>
              <w:pStyle w:val="TableContents"/>
              <w:bidi w:val="0"/>
              <w:spacing w:before="0" w:after="283"/>
              <w:jc w:val="center"/>
              <w:rPr/>
            </w:pPr>
            <w:r>
              <w:rPr/>
              <w:t>3</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155" w:type="dxa"/>
            <w:tcBorders/>
            <w:shd w:fill="CCEEFF" w:val="clear"/>
            <w:vAlign w:val="center"/>
          </w:tcPr>
          <w:p>
            <w:pPr>
              <w:pStyle w:val="TableContents"/>
              <w:bidi w:val="0"/>
              <w:spacing w:before="0" w:after="283"/>
              <w:jc w:val="center"/>
              <w:rPr/>
            </w:pPr>
            <w:r>
              <w:rPr/>
              <w:t>3</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6">
              <w:r>
                <w:rPr>
                  <w:rStyle w:val="InternetLink"/>
                  <w:sz w:val="20"/>
                </w:rPr>
                <w:t>SELLING STOCKHOLDERS</w:t>
              </w:r>
            </w:hyperlink>
          </w:p>
        </w:tc>
        <w:tc>
          <w:tcPr>
            <w:tcW w:w="155" w:type="dxa"/>
            <w:tcBorders/>
            <w:shd w:fill="CCEEFF" w:val="clear"/>
            <w:vAlign w:val="center"/>
          </w:tcPr>
          <w:p>
            <w:pPr>
              <w:pStyle w:val="TableContents"/>
              <w:bidi w:val="0"/>
              <w:spacing w:before="0" w:after="283"/>
              <w:jc w:val="center"/>
              <w:rPr/>
            </w:pPr>
            <w:r>
              <w:rPr/>
              <w:t>3</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7">
              <w:r>
                <w:rPr>
                  <w:rStyle w:val="InternetLink"/>
                  <w:sz w:val="20"/>
                </w:rPr>
                <w:t>PLAN OF DISTRIBUTION</w:t>
              </w:r>
            </w:hyperlink>
          </w:p>
        </w:tc>
        <w:tc>
          <w:tcPr>
            <w:tcW w:w="155" w:type="dxa"/>
            <w:tcBorders/>
            <w:shd w:fill="CCEEFF" w:val="clear"/>
            <w:vAlign w:val="center"/>
          </w:tcPr>
          <w:p>
            <w:pPr>
              <w:pStyle w:val="TableContents"/>
              <w:bidi w:val="0"/>
              <w:spacing w:before="0" w:after="283"/>
              <w:jc w:val="center"/>
              <w:rPr/>
            </w:pPr>
            <w:r>
              <w:rPr/>
              <w:t>5</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8">
              <w:r>
                <w:rPr>
                  <w:rStyle w:val="InternetLink"/>
                  <w:sz w:val="20"/>
                </w:rPr>
                <w:t>INFORMATION INCORPORATED BY REFERENCE</w:t>
              </w:r>
            </w:hyperlink>
          </w:p>
        </w:tc>
        <w:tc>
          <w:tcPr>
            <w:tcW w:w="155" w:type="dxa"/>
            <w:tcBorders/>
            <w:shd w:fill="CCEEFF" w:val="clear"/>
            <w:vAlign w:val="center"/>
          </w:tcPr>
          <w:p>
            <w:pPr>
              <w:pStyle w:val="TableContents"/>
              <w:bidi w:val="0"/>
              <w:spacing w:before="0" w:after="283"/>
              <w:jc w:val="center"/>
              <w:rPr>
                <w:sz w:val="20"/>
              </w:rPr>
            </w:pPr>
            <w:r>
              <w:rPr>
                <w:sz w:val="20"/>
              </w:rPr>
              <w:t>6</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155" w:type="dxa"/>
            <w:tcBorders/>
            <w:shd w:fill="CCEEFF" w:val="clear"/>
            <w:vAlign w:val="center"/>
          </w:tcPr>
          <w:p>
            <w:pPr>
              <w:pStyle w:val="TableContents"/>
              <w:bidi w:val="0"/>
              <w:spacing w:before="0" w:after="283"/>
              <w:jc w:val="center"/>
              <w:rPr>
                <w:sz w:val="20"/>
              </w:rPr>
            </w:pPr>
            <w:r>
              <w:rPr>
                <w:sz w:val="20"/>
              </w:rPr>
              <w:t>7</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0">
              <w:r>
                <w:rPr>
                  <w:rStyle w:val="InternetLink"/>
                  <w:sz w:val="20"/>
                </w:rPr>
                <w:t>EXPERTS</w:t>
              </w:r>
            </w:hyperlink>
          </w:p>
        </w:tc>
        <w:tc>
          <w:tcPr>
            <w:tcW w:w="155" w:type="dxa"/>
            <w:tcBorders/>
            <w:shd w:fill="CCEEFF" w:val="clear"/>
            <w:vAlign w:val="center"/>
          </w:tcPr>
          <w:p>
            <w:pPr>
              <w:pStyle w:val="TableContents"/>
              <w:bidi w:val="0"/>
              <w:spacing w:before="0" w:after="283"/>
              <w:jc w:val="center"/>
              <w:rPr/>
            </w:pPr>
            <w:r>
              <w:rPr/>
              <w:t>7</w:t>
            </w:r>
          </w:p>
        </w:tc>
      </w:tr>
      <w:tr>
        <w:trPr/>
        <w:tc>
          <w:tcPr>
            <w:tcW w:w="624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center"/>
              <w:rPr/>
            </w:pPr>
            <w:r>
              <w:rPr/>
              <w:t> </w:t>
            </w:r>
          </w:p>
        </w:tc>
      </w:tr>
      <w:tr>
        <w:trPr/>
        <w:tc>
          <w:tcPr>
            <w:tcW w:w="6245"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155" w:type="dxa"/>
            <w:tcBorders/>
            <w:shd w:fill="CCEEFF" w:val="clear"/>
            <w:vAlign w:val="center"/>
          </w:tcPr>
          <w:p>
            <w:pPr>
              <w:pStyle w:val="TableContents"/>
              <w:bidi w:val="0"/>
              <w:spacing w:before="0" w:after="283"/>
              <w:jc w:val="center"/>
              <w:rPr/>
            </w:pPr>
            <w:r>
              <w:rPr/>
              <w:t>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we nor the Selling Stockholders have authorized anyone to provide any information or to make any representations other than those contained in this Reoffer Prospectus or any accompanying prospectus supplement that we have prepared. We and the Selling Stockholders take no responsibility for, and can provide no assurance as to the reliability of, any other information that others may give you. This Reoffer Prospectus is an offer to sell only the securities offered hereby and only under circumstances and in jurisdictions where it is lawful to do so. No dealer, salesperson or other person is authorized to give any information or to represent anything not contained in this Reoffer Prospectus or any applicable prospectus supplement. This Reoffer Prospectus is not an offer to sell securities, and it is not soliciting an offer to buy securities, in any jurisdiction where the offer or sale is not permitted. You should assume that the information appearing in this Reoffer Prospectus or any prospectus supplement is accurate only as of the date on the front of those documents only, regardless of the time of delivery of this Reoffer Prospectus or any applicable prospectus supplement, or any sale of a security. Our business, financial condition, results of operations and prospects may have changed since those dates.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 xml:space="preserve">CAUTIONARY NOTE REGARDING FORWARD-LOOKING STATEMENTS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Reoffer Prospectus and the documents incorporated by reference in this Reoffer Prospectus contain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w:t>
      </w:r>
      <w:r>
        <w:rPr>
          <w:rFonts w:ascii="Times New Roman;Times;Serif" w:hAnsi="Times New Roman;Times;Serif"/>
          <w:b w:val="false"/>
          <w:i w:val="false"/>
          <w:caps w:val="false"/>
          <w:smallCaps w:val="false"/>
          <w:sz w:val="20"/>
          <w:shd w:fill="FFFFFF" w:val="clear"/>
        </w:rPr>
        <w:t>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w:t>
      </w:r>
      <w:r>
        <w:rPr>
          <w:rFonts w:ascii="Times New Roman;Times;Serif" w:hAnsi="Times New Roman;Times;Serif"/>
          <w:b w:val="false"/>
          <w:i w:val="false"/>
          <w:caps w:val="false"/>
          <w:smallCaps w:val="false"/>
          <w:sz w:val="20"/>
        </w:rPr>
        <w:t>When used in this Reoffer Prospectus, words such as “anticipate”, “believe”, “could”, “continue”, “estimate”, “expect”, “forecast”, “intend”, “may”, “might”, “plan”, “possible”, “potential”, “predict”, “project”, “seek”, “should”, “will”, and similar expressions may identify forward-looking statements, but the absence of these words does not mean that a statement is not forward-looking.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These risks and uncertainties include, but are not limited to, those factors discussed and identified in the Company’s public filings made with the SEC, such as the Company’s ability to:</w:t>
      </w:r>
    </w:p>
    <w:p>
      <w:pPr>
        <w:pStyle w:val="TextBody"/>
        <w:bidi w:val="0"/>
        <w:spacing w:before="0" w:after="0"/>
        <w:ind w:left="0" w:right="0" w:hanging="0"/>
        <w:jc w:val="both"/>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pPr>
            <w:r>
              <w:rPr/>
              <w:t>effectively develop and sell our product offerings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7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pPr>
            <w:r>
              <w:rPr/>
              <w:t>compete in the highly-competitive and evolving solar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manage risks associated with seasonal trends and the cyclical nature of the solar industry;</w:t>
            </w:r>
          </w:p>
        </w:tc>
      </w:tr>
    </w:tbl>
    <w:p>
      <w:pPr>
        <w:pStyle w:val="TextBody"/>
        <w:bidi w:val="0"/>
        <w:spacing w:before="0" w:after="0"/>
        <w:ind w:left="960" w:right="0" w:hanging="48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both"/>
              <w:rPr/>
            </w:pPr>
            <w:r>
              <w:rPr/>
              <w:t>maintain key strategic relationships with partners and distributors;</w:t>
            </w:r>
          </w:p>
        </w:tc>
      </w:tr>
    </w:tbl>
    <w:p>
      <w:pPr>
        <w:pStyle w:val="TextBody"/>
        <w:bidi w:val="0"/>
        <w:spacing w:before="0" w:after="0"/>
        <w:ind w:left="960" w:right="0" w:hanging="48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enhance future operating and financial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manage risks associated with the Company’s dependence on a small number of outside contract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continue working with leading solar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continue to develop new products and innovations to meet constantly evolving customer demands;</w:t>
            </w:r>
          </w:p>
        </w:tc>
      </w:tr>
    </w:tbl>
    <w:p>
      <w:pPr>
        <w:pStyle w:val="TextBody"/>
        <w:bidi w:val="0"/>
        <w:spacing w:before="0" w:after="0"/>
        <w:ind w:left="960" w:right="0" w:hanging="48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comply with laws and regulations applicable to the business;</w:t>
            </w:r>
          </w:p>
        </w:tc>
      </w:tr>
    </w:tbl>
    <w:p>
      <w:pPr>
        <w:pStyle w:val="TextBody"/>
        <w:bidi w:val="0"/>
        <w:spacing w:before="0" w:after="0"/>
        <w:ind w:left="960" w:right="0" w:hanging="48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stay abreast of modified or new laws and regulations applicable to the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acquire or make investments in other businesses, patents, technologies, products or services to grow the business, and realize the anticipated benefits therefrom;</w:t>
            </w:r>
          </w:p>
        </w:tc>
      </w:tr>
    </w:tbl>
    <w:p>
      <w:pPr>
        <w:pStyle w:val="TextBody"/>
        <w:bidi w:val="0"/>
        <w:spacing w:before="0" w:after="0"/>
        <w:ind w:left="960" w:right="0" w:hanging="48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pPr>
            <w:r>
              <w:rPr/>
              <w:t>attract, train, and retain effective officers, key employees or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respond to fluctuations in foreign currency exchange rates and political unrest and regulatory changes in international markets into which we expand or otherwise operate in;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successfully defend litigation or administrative proceedings; upgrade and maintain information technology systems;</w:t>
            </w:r>
          </w:p>
        </w:tc>
      </w:tr>
    </w:tbl>
    <w:p>
      <w:pPr>
        <w:pStyle w:val="TextBody"/>
        <w:bidi w:val="0"/>
        <w:spacing w:before="0" w:after="0"/>
        <w:ind w:left="960" w:right="0" w:hanging="48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pPr>
            <w:r>
              <w:rPr/>
              <w:t>acquire and protect intellectual property;</w:t>
            </w:r>
          </w:p>
        </w:tc>
      </w:tr>
    </w:tbl>
    <w:p>
      <w:pPr>
        <w:pStyle w:val="TextBody"/>
        <w:bidi w:val="0"/>
        <w:spacing w:before="0" w:after="0"/>
        <w:ind w:left="960" w:right="0" w:hanging="48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pPr>
            <w:r>
              <w:rPr/>
              <w:t>maintain the listing of its Common Stock and Warrants on Nasdaq;</w:t>
            </w:r>
          </w:p>
        </w:tc>
      </w:tr>
    </w:tbl>
    <w:p>
      <w:pPr>
        <w:pStyle w:val="TextBody"/>
        <w:bidi w:val="0"/>
        <w:spacing w:before="0" w:after="0"/>
        <w:ind w:left="960" w:right="0" w:hanging="48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pPr>
            <w:r>
              <w:rPr/>
              <w:t>meet future liquidity requirements, which may require additional financing; and</w:t>
            </w:r>
          </w:p>
        </w:tc>
      </w:tr>
    </w:tbl>
    <w:p>
      <w:pPr>
        <w:pStyle w:val="TextBody"/>
        <w:bidi w:val="0"/>
        <w:spacing w:before="0" w:after="0"/>
        <w:ind w:left="960" w:right="0" w:hanging="48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effectively respond to general economic and business conditions.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each statement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3" w:name="a_002"/>
      <w:bookmarkEnd w:id="3"/>
      <w:r>
        <w:rPr>
          <w:rFonts w:ascii="Times New Roman;Times;Serif" w:hAnsi="Times New Roman;Times;Serif"/>
          <w:b/>
          <w:i w:val="false"/>
          <w:caps w:val="false"/>
          <w:smallCaps w:val="false"/>
          <w:sz w:val="20"/>
          <w:bdr w:val="single" w:sz="12" w:space="1" w:color="000000"/>
        </w:rPr>
        <w:t xml:space="preserve">PROSPECTUS SUMMARY </w:t>
      </w:r>
    </w:p>
    <w:p>
      <w:pPr>
        <w:pStyle w:val="TextBody"/>
        <w:bidi w:val="0"/>
        <w:spacing w:before="0" w:after="0"/>
        <w:ind w:left="0" w:right="0" w:firstLine="49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selected information from this Reoffer Prospectus and may not contain all of the information that is important in making an investment decision. This summary is qualified in its entirety by the more detailed information included in this Reoffer Prospectus. Before making your investment decision with respect to our securities, you should carefully read this entire Reoffer Prospectus, including the information under “Risk Factors,” in this Reoffer Prospectus.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Overview </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believe we are a worldwide leader in the development and manufacture of smart hardware and software solutions that enhance safety, increase energy yield, and lower operating costs of residential, commercial, and utility-scale solar energy systems. Our mission is to deliver products and solutions that are flexible and dependable, increase the energy generation of solar energy systems and address the need for change. The solar optimizer and inverter space is predominately serviced by two major suppliers. We expect to attract new customers and gain market share by expanding sales of our Module Level Power Electronics (“MLPE”), which provide solar panel power optimization, rapid shutdown and monitoring capabilities, and our Energy Intelligence solution (“EI solution”), which provides solar energy storage management capabilities.</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served the solar energy industry with advanced power and electronics, including the manufacturing and development of our MLPEs, since our inception in 2007, and we introduced our EI solution in 2021. We combine our MLPE and EI technology with intelligent, cloud-based software capabilities for advanced energy monitoring and control.</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focused to date on MLPEs, which are devices that reside under the solar panel and improve safety features and energy production for the installer and system owner. Our MLPEs are designed to be highly flexible solutions that work with other inverters and modules, providing the installer with an open system solution and a variety of choices when designing a system for the consumer. In the fourth quarter of 2021 and the third quarter of 2022, we began to offer our EI solution to residential customers in the U.S. and Europe, respectively. Our products power everything from single-digit kilowatt residential systems to commercial and industrial, and utility systems, scaling to hundreds of megawatts on rooftop, ground-mounted, and floating applications.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Corporate Information </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incorporated in Delaware on February 13, 2019, under the name Roth CH Acquisition IV Co. (“ROCG”), in order to effectuate a merger, capital stock exchange, asset acquisition, stock purchase, reorganization or similar business combination with one or more businesses. ROCG completed its initial public offering on August 10, 2021.</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5, 2022, ROCG, Merger Sub, and Legacy Tigo, entered into an Agreement and Plan of Merger, as amended on April 6, 2023 (the “Merger Agreement”), pursuant to which, among other transactions, on May 23, 2023, Merger Sub merged with and into Legacy Tigo (the “Merger”), with Legacy Tigo surviving the Merger as a wholly-owned subsidiary of ROCG. In connection with the closing of the Business Combination, ROCG changed its name to “Tigo Energy, Inc.”</w:t>
      </w:r>
    </w:p>
    <w:p>
      <w:pPr>
        <w:pStyle w:val="TextBody"/>
        <w:bidi w:val="0"/>
        <w:spacing w:before="0" w:after="0"/>
        <w:ind w:left="0" w:right="0" w:firstLine="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mailing address of our principal executive office is 655 Campbell Technology Parkway, Suite 150, Campbell, California 95008, and our telephone number is (408) 402-0802.</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About this Offering </w:t>
      </w:r>
    </w:p>
    <w:p>
      <w:pPr>
        <w:pStyle w:val="TextBody"/>
        <w:bidi w:val="0"/>
        <w:spacing w:before="0" w:after="0"/>
        <w:ind w:left="0" w:right="0" w:firstLine="49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Reoffer Prospectus relates to the public offering, which is not being underwritten, by the Selling Stockholders listed in this Reoffer Prospectus, of up to 2,153,883 shares of Common Stock previously granted to the Selling Stockholders as executive officers or directors, as applicable, of Legacy Tigo pursuant to stock options under the Legacy Tigo 2008 Plan, the Legacy Tigo 2018 Plan and the New Tigo Plan, as applicable, prior to the Business Combination. Subject to the vesting and/or exercise of the shares of Common Stock offered hereby pursuant to the terms of the relevant award agreements, the Selling Stockholders may from time to time sell, transfer or otherwise dispose of any or all of the shares of Common Stock covered by this Reoffer Prospectus through underwriters or dealers, directly to purchasers (or a single purchaser) or through broker-dealers or agents. We will receive none of the proceeds from the sale of the shares of Common Stock by the Selling Stockholders. The Selling Stockholders will bear all sales commissions and similar expenses in connection with this offering. We will bear all expenses of registration incurred in connection with this Reoffer Prospectus, as well as any other expenses incurred by us in connection with the registration and offering that are not borne by the Selling Stockholders.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RISK FACTORS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Before making an investment decision, you should carefully consider the risks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Current Report on Form 8-K filed with the Securities and Exchange Commission (the “SEC”) on May 30, 2023, together with all of the other information appearing in or incorporated by reference into this Reoffer Prospectus. Our business, prospects, financial condition, or operating results could be harmed by any of these risks, as well as other risks not currently known to us or that we currently consider immaterial. The trading price of our Common Stock could decline due to any of these risks, and, as a result, you may lose all or part of your investment. The risks we have described also include forward-looking statements, and our actual results may differ substantially from those discussed in these forward-looking statements. See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DETERMINATION OF OFFERING PRICE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determine at what price they may sell the shares of Common Stock offered hereby, and such sales may be made at prevailing market prices or at privately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below for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USE OF PROCEEDS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hereby are being registered for the account of the Selling Stockholders named in this Reoffer Prospectus. All proceeds from the resale of the shares of Common Stock by the Selling Shareholders will go to the Selling Stockholders and we will not receive any proceeds from such resale.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concerning the Selling Stockholders. We will not receive any proceeds from the resale of shares by the Selling Stockholders.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August 8, 2023 (the “Determination Date”), the following: (i) the name of each person who is offering the resale of shares of Common Stock by this Reoffer Prospectus; (ii) the number of shares (and the percentage, if 1% or more) of Common Stock beneficially owned (determined in the manner described in footnote (1) to the table below) by each person; (iii) the number of shares that each Selling Stockholder may offer for sale from time to time pursuant to this Reoffer Prospectus, whether or not such Selling Stockholder has a present intention to do so (described in footnote (2) to the table below); and (iv) the number of shares (and the percentage, if 1% or more) of Common Stock each person will own after the offering, assuming they sell all of the shares of Common Stock offered in this Reoffer Prospectus. Unless otherwise indicated, beneficial ownership is direct and, subject to community property laws where applicable, the Selling Stockholder indicated has sole voting and investment power. To our knowledge, no shares of Common Stock beneficially owned by any Selling Stockholder have been pledged as security. The address for each Selling Stockholder listed in the table below is c/o Tigo Energy, Inc. 655 Campbell Technology Parkway, Suite 150, Campbell, CA 95008.</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prospectus accordingly. We cannot give an estimate as to the number of shares of Common Stock that will actually be held by the Selling Stockholders upon termination of this offering, because the Selling Stockholders may offer some or all of their Common Stock under the offering contemplated by this prospectus or acquire additional shares of Common Stock. The total number of shares that may be sold hereunder will not exceed the number of shares offered hereby. Please read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Reoffer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8"/>
        <w:gridCol w:w="60"/>
        <w:gridCol w:w="120"/>
        <w:gridCol w:w="1907"/>
        <w:gridCol w:w="120"/>
        <w:gridCol w:w="120"/>
        <w:gridCol w:w="201"/>
        <w:gridCol w:w="1017"/>
        <w:gridCol w:w="185"/>
        <w:gridCol w:w="60"/>
        <w:gridCol w:w="87"/>
        <w:gridCol w:w="1238"/>
        <w:gridCol w:w="60"/>
        <w:gridCol w:w="60"/>
        <w:gridCol w:w="115"/>
        <w:gridCol w:w="1834"/>
        <w:gridCol w:w="115"/>
        <w:gridCol w:w="115"/>
        <w:gridCol w:w="191"/>
        <w:gridCol w:w="994"/>
        <w:gridCol w:w="208"/>
      </w:tblGrid>
      <w:tr>
        <w:trPr/>
        <w:tc>
          <w:tcPr>
            <w:tcW w:w="13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8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Beneficially Owned Prior to the Offering(1)      </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Common Stock Being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6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Beneficially Owned After the Offering(1)(3)</w:t>
            </w:r>
          </w:p>
        </w:tc>
        <w:tc>
          <w:tcPr>
            <w:tcW w:w="208" w:type="dxa"/>
            <w:tcBorders/>
            <w:vAlign w:val="center"/>
          </w:tcPr>
          <w:p>
            <w:pPr>
              <w:pStyle w:val="TableContents"/>
              <w:bidi w:val="0"/>
              <w:spacing w:before="0" w:after="283"/>
              <w:jc w:val="center"/>
              <w:rPr/>
            </w:pPr>
            <w:r>
              <w:rPr/>
              <w:t> </w:t>
            </w:r>
          </w:p>
        </w:tc>
      </w:tr>
      <w:tr>
        <w:trPr/>
        <w:tc>
          <w:tcPr>
            <w:tcW w:w="139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Selling Stockholders</w:t>
            </w:r>
          </w:p>
        </w:tc>
        <w:tc>
          <w:tcPr>
            <w:tcW w:w="60" w:type="dxa"/>
            <w:tcBorders/>
            <w:vAlign w:val="center"/>
          </w:tcPr>
          <w:p>
            <w:pPr>
              <w:pStyle w:val="TableContents"/>
              <w:bidi w:val="0"/>
              <w:spacing w:before="0" w:after="283"/>
              <w:jc w:val="center"/>
              <w:rPr/>
            </w:pPr>
            <w:r>
              <w:rPr/>
              <w:t> </w:t>
            </w:r>
          </w:p>
        </w:tc>
        <w:tc>
          <w:tcPr>
            <w:tcW w:w="20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120"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center"/>
              <w:rPr/>
            </w:pPr>
            <w:r>
              <w:rPr/>
              <w:t> </w:t>
            </w:r>
          </w:p>
        </w:tc>
        <w:tc>
          <w:tcPr>
            <w:tcW w:w="12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Percentage(4)</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Offered(2)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w:t>
            </w:r>
          </w:p>
        </w:tc>
        <w:tc>
          <w:tcPr>
            <w:tcW w:w="115" w:type="dxa"/>
            <w:tcBorders/>
            <w:vAlign w:val="center"/>
          </w:tcPr>
          <w:p>
            <w:pPr>
              <w:pStyle w:val="TableContents"/>
              <w:bidi w:val="0"/>
              <w:spacing w:before="0" w:after="283"/>
              <w:jc w:val="center"/>
              <w:rPr/>
            </w:pPr>
            <w:r>
              <w:rPr/>
              <w:t> </w:t>
            </w:r>
          </w:p>
        </w:tc>
        <w:tc>
          <w:tcPr>
            <w:tcW w:w="115" w:type="dxa"/>
            <w:tcBorders/>
            <w:vAlign w:val="center"/>
          </w:tcPr>
          <w:p>
            <w:pPr>
              <w:pStyle w:val="TableContents"/>
              <w:bidi w:val="0"/>
              <w:spacing w:before="0" w:after="283"/>
              <w:jc w:val="center"/>
              <w:rPr/>
            </w:pPr>
            <w:r>
              <w:rPr/>
              <w:t> </w:t>
            </w:r>
          </w:p>
        </w:tc>
        <w:tc>
          <w:tcPr>
            <w:tcW w:w="11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Percentage(4)</w:t>
            </w:r>
          </w:p>
        </w:tc>
        <w:tc>
          <w:tcPr>
            <w:tcW w:w="208" w:type="dxa"/>
            <w:tcBorders/>
            <w:vAlign w:val="center"/>
          </w:tcPr>
          <w:p>
            <w:pPr>
              <w:pStyle w:val="TableContents"/>
              <w:bidi w:val="0"/>
              <w:spacing w:before="0" w:after="283"/>
              <w:jc w:val="center"/>
              <w:rPr/>
            </w:pPr>
            <w:r>
              <w:rPr/>
              <w:t> </w:t>
            </w:r>
          </w:p>
        </w:tc>
      </w:tr>
      <w:tr>
        <w:trPr/>
        <w:tc>
          <w:tcPr>
            <w:tcW w:w="1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Zvi Alon(5)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15,821,124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14,464,132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Bill Roeschlein(6)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93,340</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83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08" w:type="dxa"/>
            <w:tcBorders/>
            <w:shd w:fill="FFFFFF" w:val="clear"/>
            <w:vAlign w:val="center"/>
          </w:tcPr>
          <w:p>
            <w:pPr>
              <w:pStyle w:val="TableContents"/>
              <w:bidi w:val="0"/>
              <w:spacing w:before="0" w:after="283"/>
              <w:jc w:val="left"/>
              <w:rPr/>
            </w:pPr>
            <w:r>
              <w:rPr/>
              <w:t> </w:t>
            </w:r>
          </w:p>
        </w:tc>
      </w:tr>
      <w:tr>
        <w:trPr/>
        <w:tc>
          <w:tcPr>
            <w:tcW w:w="1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(JD) Dillon(6)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102,674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34"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08" w:type="dxa"/>
            <w:tcBorders/>
            <w:shd w:fill="CCEEFF" w:val="clear"/>
            <w:vAlign w:val="center"/>
          </w:tcPr>
          <w:p>
            <w:pPr>
              <w:pStyle w:val="TableContents"/>
              <w:bidi w:val="0"/>
              <w:spacing w:before="0" w:after="283"/>
              <w:jc w:val="left"/>
              <w:rPr/>
            </w:pPr>
            <w:r>
              <w:rPr/>
              <w:t> </w:t>
            </w:r>
          </w:p>
        </w:tc>
      </w:tr>
      <w:tr>
        <w:trPr/>
        <w:tc>
          <w:tcPr>
            <w:tcW w:w="1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Jing Tian(6)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108,508</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83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08" w:type="dxa"/>
            <w:tcBorders/>
            <w:shd w:fill="FFFFFF" w:val="clear"/>
            <w:vAlign w:val="center"/>
          </w:tcPr>
          <w:p>
            <w:pPr>
              <w:pStyle w:val="TableContents"/>
              <w:bidi w:val="0"/>
              <w:spacing w:before="0" w:after="283"/>
              <w:jc w:val="left"/>
              <w:rPr/>
            </w:pPr>
            <w:r>
              <w:rPr/>
              <w:t> </w:t>
            </w:r>
          </w:p>
        </w:tc>
      </w:tr>
      <w:tr>
        <w:trPr/>
        <w:tc>
          <w:tcPr>
            <w:tcW w:w="1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Sullivan(7)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34"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08" w:type="dxa"/>
            <w:tcBorders/>
            <w:shd w:fill="CCEEFF" w:val="clear"/>
            <w:vAlign w:val="center"/>
          </w:tcPr>
          <w:p>
            <w:pPr>
              <w:pStyle w:val="TableContents"/>
              <w:bidi w:val="0"/>
              <w:spacing w:before="0" w:after="283"/>
              <w:jc w:val="left"/>
              <w:rPr/>
            </w:pPr>
            <w:r>
              <w:rPr/>
              <w:t> </w:t>
            </w:r>
          </w:p>
        </w:tc>
      </w:tr>
      <w:tr>
        <w:trPr/>
        <w:tc>
          <w:tcPr>
            <w:tcW w:w="1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Splinter(8)</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1,401,333</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1,263,656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Stanley Stern(9)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295,127</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169,118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 </w:t>
            </w:r>
          </w:p>
        </w:tc>
        <w:tc>
          <w:tcPr>
            <w:tcW w:w="208" w:type="dxa"/>
            <w:tcBorders/>
            <w:shd w:fill="CCEEFF" w:val="clear"/>
            <w:vAlign w:val="center"/>
          </w:tcPr>
          <w:p>
            <w:pPr>
              <w:pStyle w:val="TableContents"/>
              <w:bidi w:val="0"/>
              <w:spacing w:before="0" w:after="283"/>
              <w:jc w:val="left"/>
              <w:rPr/>
            </w:pPr>
            <w:r>
              <w:rPr/>
              <w:t> </w:t>
            </w:r>
          </w:p>
        </w:tc>
      </w:tr>
      <w:tr>
        <w:trPr/>
        <w:tc>
          <w:tcPr>
            <w:tcW w:w="13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Tomer Babai(6)</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32,669</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834"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w:t>
            </w:r>
          </w:p>
        </w:tc>
        <w:tc>
          <w:tcPr>
            <w:tcW w:w="208" w:type="dxa"/>
            <w:tcBorders/>
            <w:shd w:fill="FFFFFF" w:val="clear"/>
            <w:vAlign w:val="center"/>
          </w:tcPr>
          <w:p>
            <w:pPr>
              <w:pStyle w:val="TableContents"/>
              <w:bidi w:val="0"/>
              <w:spacing w:before="0" w:after="283"/>
              <w:jc w:val="left"/>
              <w:rPr/>
            </w:pPr>
            <w:r>
              <w:rPr/>
              <w:t> </w:t>
            </w:r>
          </w:p>
        </w:tc>
      </w:tr>
      <w:tr>
        <w:trPr/>
        <w:tc>
          <w:tcPr>
            <w:tcW w:w="13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Joan C. Conley(6)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102,674</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834"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w:t>
            </w:r>
          </w:p>
        </w:tc>
        <w:tc>
          <w:tcPr>
            <w:tcW w:w="2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sz w:val="20"/>
              </w:rPr>
            </w:pPr>
            <w:r>
              <w:rPr>
                <w:sz w:val="20"/>
              </w:rPr>
              <w:t>(1)</w:t>
            </w:r>
          </w:p>
        </w:tc>
        <w:tc>
          <w:tcPr>
            <w:tcW w:w="9999" w:type="dxa"/>
            <w:tcBorders/>
            <w:vAlign w:val="center"/>
          </w:tcPr>
          <w:p>
            <w:pPr>
              <w:pStyle w:val="TableContents"/>
              <w:bidi w:val="0"/>
              <w:spacing w:before="0" w:after="283"/>
              <w:jc w:val="both"/>
              <w:rPr>
                <w:sz w:val="20"/>
              </w:rPr>
            </w:pPr>
            <w:r>
              <w:rPr>
                <w:sz w:val="20"/>
              </w:rPr>
              <w:t>Reflects shares of Common Stock included in the footnote next to the Selling Stockholder’s name that the Selling Stockholder “beneficially owns,” meaning all shares of Common Stock over which the Selling Stockholder possesses sole or shared voting or investment power or has right to acquire such power within 60 days of the Determination Date (such as through the exercise of stock options). Shares subject to options that vest or are exercisable within 60 days of the Determination Date are considered outstanding and beneficially owned by the Selling Stockholder holding such options for the purpose of computing the ownership and percentage ownership of that Selling Stockholder, but are not treated as outstanding for the purpose of computing the ownership or percentage ownership of any other Selling Stockholder. The stock options granted under the Legacy Tigo 2008 Plan and Legacy Tigo 2018 Plan, as applicable, are immediately exercisable, subject to a repurchase right in favor of us, which lapses as the option vests.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sz w:val="20"/>
              </w:rPr>
            </w:pPr>
            <w:r>
              <w:rPr>
                <w:sz w:val="20"/>
              </w:rPr>
              <w:t xml:space="preserve">Reflects shares of Common Stock offered under this Reoffer Prospectus, which were previously granted to the Selling Stockholders pursuant to stock options and vest and/or become exercisable in accordance with the terms of the agreements for such awards. This includes both shares of Common Stock from previously-granted stock options that are considered “beneficially owned” as in footnote 1, as well as shares underlying stock options that vest and/or become exercisable more than 60 days after the Determination Date.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both"/>
              <w:rPr>
                <w:sz w:val="20"/>
              </w:rPr>
            </w:pPr>
            <w:r>
              <w:rPr>
                <w:sz w:val="20"/>
              </w:rPr>
              <w:t>(3)</w:t>
            </w:r>
          </w:p>
        </w:tc>
        <w:tc>
          <w:tcPr>
            <w:tcW w:w="9979" w:type="dxa"/>
            <w:tcBorders/>
            <w:vAlign w:val="center"/>
          </w:tcPr>
          <w:p>
            <w:pPr>
              <w:pStyle w:val="TableContents"/>
              <w:bidi w:val="0"/>
              <w:spacing w:before="0" w:after="283"/>
              <w:jc w:val="both"/>
              <w:rPr>
                <w:sz w:val="20"/>
              </w:rPr>
            </w:pPr>
            <w:r>
              <w:rPr>
                <w:sz w:val="20"/>
              </w:rPr>
              <w:t xml:space="preserve">Assumes that all of the shares of Common Stock held by each Selling Stockholder and being offered under this Reoffer Prospectus are sold, and that no Selling Stockholder will acquire additional shares of Common Stock before the completion of this offering.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sz w:val="20"/>
              </w:rPr>
            </w:pPr>
            <w:r>
              <w:rPr>
                <w:sz w:val="20"/>
              </w:rPr>
              <w:t>(4)</w:t>
            </w:r>
          </w:p>
        </w:tc>
        <w:tc>
          <w:tcPr>
            <w:tcW w:w="9954" w:type="dxa"/>
            <w:tcBorders/>
            <w:vAlign w:val="center"/>
          </w:tcPr>
          <w:p>
            <w:pPr>
              <w:pStyle w:val="TableContents"/>
              <w:bidi w:val="0"/>
              <w:spacing w:before="0" w:after="283"/>
              <w:jc w:val="both"/>
              <w:rPr>
                <w:sz w:val="20"/>
              </w:rPr>
            </w:pPr>
            <w:r>
              <w:rPr>
                <w:sz w:val="20"/>
              </w:rPr>
              <w:t xml:space="preserve">Percentage of beneficial ownership is based on, as of the Determination Date, 58,144,543 shares of Common Stock issued and outstanding.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(i) 1,356,992 shares of Common Stock issuable upon exercise of stock options held by Mr. Alon, (ii) 12,689,306 shares of Common Stock held by Alon Ventures, LLC, a California limited liability company, for which Mr. Alon may be deemed to have voting or investment power over such securities, and (iii) 1,774,826 shares of Common Stock held by the Zvi and Ricki Alon Trust U/A/D June 29, 2017, for which Mr. Alon serves as Trustee and exercises investment decisions with respect to such securities.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sz w:val="20"/>
              </w:rPr>
            </w:pPr>
            <w:r>
              <w:rPr>
                <w:sz w:val="20"/>
              </w:rPr>
              <w:t>(6)</w:t>
            </w:r>
          </w:p>
        </w:tc>
        <w:tc>
          <w:tcPr>
            <w:tcW w:w="9971" w:type="dxa"/>
            <w:tcBorders/>
            <w:vAlign w:val="center"/>
          </w:tcPr>
          <w:p>
            <w:pPr>
              <w:pStyle w:val="TableContents"/>
              <w:bidi w:val="0"/>
              <w:spacing w:before="0" w:after="283"/>
              <w:jc w:val="both"/>
              <w:rPr>
                <w:sz w:val="20"/>
              </w:rPr>
            </w:pPr>
            <w:r>
              <w:rPr>
                <w:sz w:val="20"/>
              </w:rPr>
              <w:t>Reflects the shares of Common Stock issuable upon exercise of stock options granted under the Legacy Tigo 2008 Plan and the Legacy Tigo 2018 Plan, as applicable, held by the applicable individual.</w:t>
            </w:r>
          </w:p>
        </w:tc>
      </w:tr>
      <w:tr>
        <w:trPr/>
        <w:tc>
          <w:tcPr>
            <w:tcW w:w="234" w:type="dxa"/>
            <w:tcBorders/>
            <w:vAlign w:val="center"/>
          </w:tcPr>
          <w:p>
            <w:pPr>
              <w:pStyle w:val="TableContents"/>
              <w:bidi w:val="0"/>
              <w:spacing w:before="0" w:after="283"/>
              <w:jc w:val="both"/>
              <w:rPr/>
            </w:pPr>
            <w:r>
              <w:rPr/>
              <w:t> </w:t>
            </w:r>
          </w:p>
        </w:tc>
        <w:tc>
          <w:tcPr>
            <w:tcW w:w="9971" w:type="dxa"/>
            <w:tcBorders/>
            <w:vAlign w:val="center"/>
          </w:tcPr>
          <w:p>
            <w:pPr>
              <w:pStyle w:val="TableContents"/>
              <w:bidi w:val="0"/>
              <w:spacing w:before="0" w:after="283"/>
              <w:jc w:val="both"/>
              <w:rPr/>
            </w:pPr>
            <w:r>
              <w:rPr/>
              <w:t> </w:t>
            </w:r>
          </w:p>
        </w:tc>
      </w:tr>
      <w:tr>
        <w:trPr/>
        <w:tc>
          <w:tcPr>
            <w:tcW w:w="234" w:type="dxa"/>
            <w:tcBorders/>
            <w:vAlign w:val="center"/>
          </w:tcPr>
          <w:p>
            <w:pPr>
              <w:pStyle w:val="TableContents"/>
              <w:bidi w:val="0"/>
              <w:spacing w:before="0" w:after="283"/>
              <w:jc w:val="both"/>
              <w:rPr>
                <w:sz w:val="20"/>
              </w:rPr>
            </w:pPr>
            <w:r>
              <w:rPr>
                <w:sz w:val="20"/>
              </w:rPr>
              <w:t>(7)</w:t>
            </w:r>
          </w:p>
        </w:tc>
        <w:tc>
          <w:tcPr>
            <w:tcW w:w="9971" w:type="dxa"/>
            <w:tcBorders/>
            <w:vAlign w:val="center"/>
          </w:tcPr>
          <w:p>
            <w:pPr>
              <w:pStyle w:val="TableContents"/>
              <w:bidi w:val="0"/>
              <w:spacing w:before="0" w:after="283"/>
              <w:jc w:val="both"/>
              <w:rPr>
                <w:sz w:val="20"/>
              </w:rPr>
            </w:pPr>
            <w:r>
              <w:rPr>
                <w:sz w:val="20"/>
              </w:rPr>
              <w:t xml:space="preserve">Reflects the shares underlying stock options issued under the New Tigo Plan. 25% of such options vest on May 15, 2024 and 1/48th of such options vest on the last day of each calendar month thereafter.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137,677 shares of Common Stock issuable upon exercise of stock options held by Mr. Splinter, (ii) 1,123,656 shares of Common Stock held by the Splinter Roboostoff Rev Trust, for which Mr. Splinter serves as Trustee and exercises investment decisions with respect to such securities, (iii) 35,000 shares of Common Stock held by the Amanda Christine Splinter 2012 Irrevocable Trust Dtd 08/10/2012, for which Mr. Splinter serves as Trustee and exercises investment decisions with respect to such securities, (iv) 35,000 shares of Common Stock held by The Archie David Roboostoff 2012 Irrevocable Trust Dtd 08/10/2012, for which Mr. Splinter serves as Trustee and exercises investment decisions with respect to such securities, (v) 35,000 shares of Common Stock held by The Joshua Michael Splinter 2012 Irrevocable Trust Dtd 08/10/2012, for which Mr. Splinter serves as Trustee and exercises investment decisions with respect to such securities and (vi) 35,000 shares of Common Stock held by The Krista Diane Fenske 2012 Irrevocable Trust Dtd 08/10/2012, for which Mr. Splinter serves as Trustee and exercises investment decisions with respect to such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169,118 shares of Common Stock and (ii) 126,009 shares of Common Stock issuable upon the exercise of stock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Material Relationships with the Selling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Employment Agreements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employment agreements (the “Executive Employment Agreements”) with each of Zvi Alon, our Chief Executive Officer, and Bill Roeschlein, our Chief Financial Officer, that govern certain terms and conditions of such executive officers’ employment with us. The Executive Employment Agreements provide for base salary, eligibility to receive an annual bonus, eligibility to receive certain severance benefits upon involuntary terminations of employment, as well as customary confidentiality, assignment of intellectual property provisions, and certain restrictive covenants, including post-employment non-solicitation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Indemnification Agreements with Directors and Executive Officers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we entered into indemnification agreements with each of our directors and executive officers, including the Selling Stockholders. The indemnification agreements require us to indemnify our directors and executive officers to the fullest extent permitted by Delaware law. The Delaware General Corporation Law (the “DGCL”) authorizes corporations to limit or eliminate the personal liability of directors and officers of corporations and their stockholders for monetary damages for breaches of directors’ fiduciary duties, subject to certain exceptions. Our Second Amended and Restated Certificate of Incorporation (the “Charter”) includes a provision that eliminates the personal liability of directors and officers for monetary damages for any breach of fiduciary duty as a director or officer to the fullest extent permitted by Delaware law.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(the “Bylaws”) also provide that the Company must indemnify and advance expenses to its directors and officers to the fullest extent authorized by the DGCL. The Company also is expressly authorized to carry directors’ and officers’ liability insurance providing indemnification for the Company’s directors, officers and certain employees for some liabilities.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maintains a directors’ and officers’ insurance policy pursuant to which our directors and officers are insured against liability for actions taken in their capacities as directors and officers. We believe these provisions in the Charter, Bylaws and indemnification agreements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covered by this Reoffer Prospectus are being registered by the Company for the account of the Selling Stockholders. The shares of Common Stock offered may be sold from time to time directly by or on behalf of each Selling Stockholder in one or more transactions on Nasdaq or any other stock exchange on which the Common Stock may be listed at the time of sale, in the over-the-counter market, in privately negotiated transactions, any other method permitted by applicable law or through a combination of such methods, at market prices prevailing at the time of sale, at prices related to such prevailing market prices, at fixed prices (which may be changed) or at negotiated prices. These transactions may include block transactions or crosses. Crosses are transactions in which the same broker acts as an agent on both sides of the trade. The Selling Stockholders may sell the Common Stock through one or more agents, brokers-dealers or directly to purchasers. Such broker-dealers may receive compensation in the form of commissions, discounts, or concessions from the Selling Stockholders and/or purchasers of the Common Stock or both. Such compensation as to a particular broker-dealer may be in excess of customary commissions. The amount of shares of Common Stock to be reoffered or resold under the Reoffer Prospectus by each Selling Stockholder and any other person with whom he or she is acting in concert for the purpose of selling Common Stock, may not exceed, during any three-month period, the amount specified in Rule 144(e) under the Securities Act.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 particular offering of the Common Stock is made, a prospectus supplement, if required, will be distributed, which will set forth the name of the Selling Stockholders, the aggregate amount of the Common Stock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their sales, a Selling Stockholder, and any participating broker-dealer may be deemed to be “underwriters” within the meaning of the Securities Act, and any commissions they receive and the proceeds of any sale of Common Stock may be deemed to be underwriting discounts and commissions under the Securities Act. We are bearing all costs relating to the registration of the Common Stock. Any commissions or other fees payable to broker-dealers in connection with any sale of the Common Stock will be borne by the Selling Stockholders or other party selling such shares of Common Stock.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will act independently of us in making decisions with respect to the timing, manner, and size of each resale or other transfer. There is no assurance that the Selling Stockholders will sell all or a portion of the Common Stock offered hereby under this Reoffer Prospectus. Further, we cannot assure you that the Selling Stockholders will not transfer, distribute, devise, or gift the Common Stock by other means not described in this Reoffer Prospectus. In addition to any Common Stock sold hereunder, Selling Stockholders may sell Common Stock in compliance with Rule 144 when available. Sales of the Common Stock must be made by the Selling Stockholders in compliance with all applicable state and federal securities laws and regulations, including the Securities Act. The Selling Stockholders may agree to indemnify any broker, dealer, or agent that participates in transactions involving sales of the Common Stock against certain liabilities in connection with the offering of the Common Stock arising under the Securities Act. We have notified the Selling Stockholders of the need to deliver a copy of this Reoffer Prospectus in connection with any sale of the Common Stock.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anti-manipulation rules of Regulation M under the Securities Exchange Act of 1934, as amended (the “Exchange Act”) may apply to resales of shares of Common Stock and activities of the Selling Stockholders, which may limit the timing of purchases and resales of any of the shares of Common Stock by the Selling Stockholders and any other participating person. Regulation M may also restrict the ability of any person engaged in the distribution of the Common Stock to engage in passive market-making activities with respect to the Common Stock. Passive market-making involves transactions in which a market maker acts as both our underwriter and as a purchaser of shares of Common Stock in the secondary market.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on Form S-8, of which this Reoffer Prospectus forms a part, the shares of Common Stock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 xml:space="preserve">INFORMATION INCORPORATED BY REFERENCE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in this Reoffer Prospectus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Company’s Prospectus filed with the Commission on </w:t>
            </w:r>
            <w:hyperlink r:id="rId2">
              <w:r>
                <w:rPr>
                  <w:rStyle w:val="InternetLink"/>
                  <w:sz w:val="20"/>
                </w:rPr>
                <w:t>April 26, 2023</w:t>
              </w:r>
            </w:hyperlink>
            <w:r>
              <w:rPr>
                <w:sz w:val="20"/>
              </w:rPr>
              <w:t>, as supplemented on May 19, 2023, pursuant to Rule 424(b)(3) under the Securities Act relating to the Registration Statement on Form S-4/A, as amended (File No. 333-269095);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Quarterly Report on </w:t>
            </w:r>
            <w:hyperlink r:id="rId3">
              <w:r>
                <w:rPr>
                  <w:rStyle w:val="InternetLink"/>
                  <w:sz w:val="20"/>
                </w:rPr>
                <w:t>Form 10-Q</w:t>
              </w:r>
            </w:hyperlink>
            <w:r>
              <w:rPr>
                <w:sz w:val="20"/>
              </w:rPr>
              <w:t xml:space="preserve"> for the quarter ended March 31, 2023, filed by the Company with the SEC on May 12, 2023;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Current Reports on Form 8-K, filed with the SEC on </w:t>
            </w:r>
            <w:hyperlink r:id="rId4">
              <w:r>
                <w:rPr>
                  <w:rStyle w:val="InternetLink"/>
                  <w:sz w:val="20"/>
                </w:rPr>
                <w:t>January 11, 2023</w:t>
              </w:r>
            </w:hyperlink>
            <w:r>
              <w:rPr>
                <w:sz w:val="20"/>
              </w:rPr>
              <w:t xml:space="preserve">, </w:t>
            </w:r>
            <w:hyperlink r:id="rId5">
              <w:r>
                <w:rPr>
                  <w:rStyle w:val="InternetLink"/>
                  <w:sz w:val="20"/>
                </w:rPr>
                <w:t>February 14, 2023</w:t>
              </w:r>
            </w:hyperlink>
            <w:r>
              <w:rPr>
                <w:sz w:val="20"/>
              </w:rPr>
              <w:t xml:space="preserve">, </w:t>
            </w:r>
            <w:hyperlink r:id="rId6">
              <w:r>
                <w:rPr>
                  <w:rStyle w:val="InternetLink"/>
                  <w:sz w:val="20"/>
                </w:rPr>
                <w:t>February 17, 2023</w:t>
              </w:r>
            </w:hyperlink>
            <w:r>
              <w:rPr>
                <w:sz w:val="20"/>
              </w:rPr>
              <w:t xml:space="preserve">, </w:t>
            </w:r>
            <w:hyperlink r:id="rId7">
              <w:r>
                <w:rPr>
                  <w:rStyle w:val="InternetLink"/>
                  <w:sz w:val="20"/>
                </w:rPr>
                <w:t>May 22, 2023</w:t>
              </w:r>
            </w:hyperlink>
            <w:r>
              <w:rPr>
                <w:sz w:val="20"/>
              </w:rPr>
              <w:t xml:space="preserve">, </w:t>
            </w:r>
            <w:hyperlink r:id="rId8">
              <w:r>
                <w:rPr>
                  <w:rStyle w:val="InternetLink"/>
                  <w:sz w:val="20"/>
                </w:rPr>
                <w:t>May 30, 2023</w:t>
              </w:r>
            </w:hyperlink>
            <w:r>
              <w:rPr>
                <w:sz w:val="20"/>
              </w:rPr>
              <w:t xml:space="preserve"> (excluding Item 7.01 therein), </w:t>
            </w:r>
            <w:hyperlink r:id="rId9">
              <w:r>
                <w:rPr>
                  <w:rStyle w:val="InternetLink"/>
                  <w:sz w:val="20"/>
                </w:rPr>
                <w:t>June 12, 2023</w:t>
              </w:r>
            </w:hyperlink>
            <w:r>
              <w:rPr>
                <w:sz w:val="20"/>
              </w:rPr>
              <w:t xml:space="preserve"> and </w:t>
            </w:r>
            <w:hyperlink r:id="rId10">
              <w:r>
                <w:rPr>
                  <w:rStyle w:val="InternetLink"/>
                  <w:sz w:val="20"/>
                </w:rPr>
                <w:t>June 30, 2023</w:t>
              </w:r>
            </w:hyperlink>
            <w:r>
              <w:rPr>
                <w:sz w:val="20"/>
              </w:rPr>
              <w:t xml:space="preserve">;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description of the Company’s Common Stock contained in the Company’s Registration Statement on </w:t>
            </w:r>
            <w:hyperlink r:id="rId11">
              <w:r>
                <w:rPr>
                  <w:rStyle w:val="InternetLink"/>
                  <w:sz w:val="20"/>
                </w:rPr>
                <w:t>Form S-1</w:t>
              </w:r>
            </w:hyperlink>
            <w:r>
              <w:rPr>
                <w:sz w:val="20"/>
              </w:rPr>
              <w:t xml:space="preserve"> (File No. 333-272832), filed with the SEC on June 22, 2023, including any amendment or report filed to update such description.</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Exchange Act, prior to the filing of a post-effective amendment to the registration statement to which this Reoffer Prospectus relates, which indicates that all securities offered hereby have been sold or which deregisters all securities then remaining unsold, shall be deemed to be incorporated by reference in this Reoffer Prospectus and to be a part hereof from the date of filing of such documents.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Reoffer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Reoffer Prospectus.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information is incorporated by reference in this Reoffer Prospectus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Reoffer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LEGAL MATTERS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 has issued an opinion regarding the legality of the shares of Common Stock offered hereby.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EXPERTS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Tigo Energy, Inc. as of December 31, 2022 and 2021, and for each of the two years in the period ended December 31, 2022, included in this prospectus have been audited by Frank, Rimerman + Co. LLP, an independent registered public accounting firm, as set forth in their report thereon, appearing elsewhere in this prospectus. Such financial statements are included in reliance upon the report of such firm given their authority as experts in accounting and auditing.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Roth CH Acquisition IV Co. as of December 31, 2022 and 2021, and for each of the two years in the period ended December 31, 2022, appearing in this prospectus have been audited by Marcum LLP, an independent registered public accounting firm, as stated in their report thereon (which includes an explanatory paragraph relating to substantial doubt about the ability of Roth CH Acquisition IV Co. to continue as a going concern as described in Note 1 of the financial statements) and included in this prospectus,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reports and other information with the SEC, including annual reports on Form 10-K, quarterly reports on Form 10-Q, current reports on Form 8-K, proxy statements and other documents. The SEC maintains an internet website that contains such reports, proxies and other information about issuers, including us, that file electronically with the SEC. The address of that website is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use our website as a distribution channel of material company information. Financial and other important information regarding our Company is routinely posted on and accessible through the Company’s website at </w:t>
      </w:r>
      <w:r>
        <w:rPr>
          <w:rFonts w:ascii="Times New Roman;Times;Serif" w:hAnsi="Times New Roman;Times;Serif"/>
          <w:b w:val="false"/>
          <w:i/>
          <w:caps w:val="false"/>
          <w:smallCaps w:val="false"/>
          <w:sz w:val="20"/>
        </w:rPr>
        <w:t>https://www.tigoenergy.com</w:t>
      </w:r>
      <w:r>
        <w:rPr>
          <w:rFonts w:ascii="Times New Roman;Times;Serif" w:hAnsi="Times New Roman;Times;Serif"/>
          <w:b w:val="false"/>
          <w:i w:val="false"/>
          <w:caps w:val="false"/>
          <w:smallCaps w:val="false"/>
          <w:sz w:val="20"/>
        </w:rPr>
        <w:t>/. Accordingly, investors should monitor this channel, in addition to following the Company’s press releases, SEC filings and public conference calls and webcasts.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INFORMATION REQUIRED IN THE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Incorporation of Documents by Reference.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incorporates by reference in this Registration Statement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Company’s Prospectus filed with the Commission on </w:t>
            </w:r>
            <w:hyperlink r:id="rId12">
              <w:r>
                <w:rPr>
                  <w:rStyle w:val="InternetLink"/>
                  <w:sz w:val="20"/>
                </w:rPr>
                <w:t>April 26, 2023</w:t>
              </w:r>
            </w:hyperlink>
            <w:r>
              <w:rPr>
                <w:sz w:val="20"/>
              </w:rPr>
              <w:t>, as supplemented on May 19, 2023, pursuant to Rule 424(b)(3) under the Securities Act relating to the Registration Statement on Form S-4/A, as amended (File No. 333-269095);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Quarterly Report on </w:t>
            </w:r>
            <w:hyperlink r:id="rId13">
              <w:r>
                <w:rPr>
                  <w:rStyle w:val="InternetLink"/>
                  <w:sz w:val="20"/>
                </w:rPr>
                <w:t>Form 10-Q</w:t>
              </w:r>
            </w:hyperlink>
            <w:r>
              <w:rPr>
                <w:sz w:val="20"/>
              </w:rPr>
              <w:t xml:space="preserve"> for the quarter ended March 31, 2023, filed by the Company with the SEC on May 12, 2023;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Current Reports on Form 8-K, filed with the SEC on </w:t>
            </w:r>
            <w:hyperlink r:id="rId14">
              <w:r>
                <w:rPr>
                  <w:rStyle w:val="InternetLink"/>
                  <w:sz w:val="20"/>
                </w:rPr>
                <w:t>January 11, 2023</w:t>
              </w:r>
            </w:hyperlink>
            <w:r>
              <w:rPr>
                <w:sz w:val="20"/>
              </w:rPr>
              <w:t xml:space="preserve">, </w:t>
            </w:r>
            <w:hyperlink r:id="rId15">
              <w:r>
                <w:rPr>
                  <w:rStyle w:val="InternetLink"/>
                  <w:sz w:val="20"/>
                </w:rPr>
                <w:t>February 14, 2023</w:t>
              </w:r>
            </w:hyperlink>
            <w:r>
              <w:rPr>
                <w:sz w:val="20"/>
              </w:rPr>
              <w:t xml:space="preserve">, </w:t>
            </w:r>
            <w:hyperlink r:id="rId16">
              <w:r>
                <w:rPr>
                  <w:rStyle w:val="InternetLink"/>
                  <w:sz w:val="20"/>
                </w:rPr>
                <w:t>February 17, 2023</w:t>
              </w:r>
            </w:hyperlink>
            <w:r>
              <w:rPr>
                <w:sz w:val="20"/>
              </w:rPr>
              <w:t xml:space="preserve">, </w:t>
            </w:r>
            <w:hyperlink r:id="rId17">
              <w:r>
                <w:rPr>
                  <w:rStyle w:val="InternetLink"/>
                  <w:sz w:val="20"/>
                </w:rPr>
                <w:t>May 22, 2023</w:t>
              </w:r>
            </w:hyperlink>
            <w:r>
              <w:rPr>
                <w:sz w:val="20"/>
              </w:rPr>
              <w:t xml:space="preserve">, </w:t>
            </w:r>
            <w:hyperlink r:id="rId18">
              <w:r>
                <w:rPr>
                  <w:rStyle w:val="InternetLink"/>
                  <w:sz w:val="20"/>
                </w:rPr>
                <w:t>May 30, 2023</w:t>
              </w:r>
            </w:hyperlink>
            <w:r>
              <w:rPr>
                <w:sz w:val="20"/>
              </w:rPr>
              <w:t xml:space="preserve"> (excluding Item 7.01 therein), </w:t>
            </w:r>
            <w:hyperlink r:id="rId19">
              <w:r>
                <w:rPr>
                  <w:rStyle w:val="InternetLink"/>
                  <w:sz w:val="20"/>
                </w:rPr>
                <w:t>June 12, 2023</w:t>
              </w:r>
            </w:hyperlink>
            <w:r>
              <w:rPr>
                <w:sz w:val="20"/>
              </w:rPr>
              <w:t xml:space="preserve"> and </w:t>
            </w:r>
            <w:hyperlink r:id="rId20">
              <w:r>
                <w:rPr>
                  <w:rStyle w:val="InternetLink"/>
                  <w:sz w:val="20"/>
                </w:rPr>
                <w:t>June 30, 2023</w:t>
              </w:r>
            </w:hyperlink>
            <w:r>
              <w:rPr>
                <w:sz w:val="20"/>
              </w:rPr>
              <w:t xml:space="preserve">; and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 xml:space="preserve">the description of the Company’s Common Stock contained in the Company’s Registration Statement on </w:t>
            </w:r>
            <w:hyperlink r:id="rId21">
              <w:r>
                <w:rPr>
                  <w:rStyle w:val="InternetLink"/>
                  <w:sz w:val="20"/>
                </w:rPr>
                <w:t>Form S-1</w:t>
              </w:r>
            </w:hyperlink>
            <w:r>
              <w:rPr>
                <w:sz w:val="20"/>
              </w:rPr>
              <w:t xml:space="preserve"> (File No. 333-272832), filed with the SEC on June 22, 2023, including any amendment or report filed to update such description.</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Company pursuant to Sections 13(a), 13(c), 14 and 15(d) of the Securities Exchange Act of 1934, as amended (the “Exchange Act”)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Description of Securities.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Interests of Named Experts and Counsel.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Indemnification of Directors and Officers.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or officer to the corporation or its stockholders or monetary damages for breach of fiduciary duty as a director or officer, provided that such provision shall not eliminate or limit the liability of (i) a director or officer for any breach of the director’s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derived an improper personal benefit or (v) an officer in any action by or in the right of the corporation.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Charter eliminates the personal liability of directors and officers for monetary damages for any breach of fiduciary duty as a director or officer to the fullest extent permitted by Delaware law, and our Bylaws provide that we will indemnify them to the fullest extent authorized by the DGCL.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applicable, if the basis of the indemnitee’s involvement was by reason of the fact that the indemnitee is or was our director or officer or was serving at our request. We must indemnify our officers and directors against all actual and reasonable fees, expenses, and other costs of any type or nature whatsoever, including any and all expenses and obligations in connection with prosecuting, defending, preparing to prosecute or defend, investigating, being or preparing to be a witness in, settlement or appeal of, or otherwise participating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 Exemption from Registration Claimed.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offer and sale of the shares of Common Stock being reoffered by the Reoffer Prospectus were deemed to be exempt from registration under the Securities Act in reliance upon Section 4(a)(2) of the Securities Act (or Regulation D thereunder) for offers and sales to certain grantees not involving a public offering Regulation S under the Securities Act for offers and sales to grantees outside the United States with no directed selling efforts in the United States and/or Rule 701 under the Securities Act for offers and sales to grantees pursuant to certain written compensatory benefit plans and contracts relating to compensation as provided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b/>
                <w:sz w:val="20"/>
              </w:rPr>
            </w:pPr>
            <w:r>
              <w:rPr>
                <w:b/>
                <w:sz w:val="20"/>
              </w:rPr>
              <w:t>Exhibit 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2">
              <w:r>
                <w:rPr>
                  <w:rStyle w:val="InternetLink"/>
                  <w:sz w:val="20"/>
                </w:rPr>
                <w:t>Second Amended and Restated Certificate of Incorporation of Tigo Energy, Inc. (incorporated by reference to Exhibit 3.1 to the Company’s Current Report on Form 8-K (File No. 001-40710), filed with the Securities and Exchange Commission on May 30,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3">
              <w:r>
                <w:rPr>
                  <w:rStyle w:val="InternetLink"/>
                  <w:sz w:val="20"/>
                </w:rPr>
                <w:t>Amended and Restated Bylaws of Tigo Energy, Inc. (incorporated by reference to Exhibit 3.2 to the Company’s Current Report on Form 8-K (File No. 001-40710), filed with the Securities and Exchange Commission on May 30,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4">
              <w:r>
                <w:rPr>
                  <w:rStyle w:val="InternetLink"/>
                  <w:sz w:val="20"/>
                </w:rPr>
                <w:t>Warrant Agreement, dated August 5, 2021, by and between the Registrant and Continental Stock Transfer &amp; Trust Company (incorporated by reference to Exhibit 4.4 to the Company’s Registration Statement on Form S-4/A (File No. 333-264811), filed with the Securities and Exchange Commission on April 20,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5">
              <w:r>
                <w:rPr>
                  <w:rStyle w:val="InternetLink"/>
                  <w:sz w:val="20"/>
                </w:rPr>
                <w:t>2008 Stock Plan of Tigo Energy, Inc. (incorporated by reference to Exhibit 10.19 to the Company’s Registration Statement on Form S-4/A (File No. 333-264811), filed with the Securities and Exchange Commission on April 20,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6">
              <w:r>
                <w:rPr>
                  <w:rStyle w:val="InternetLink"/>
                  <w:sz w:val="20"/>
                </w:rPr>
                <w:t>Amended and Restated 2018 Stock Plan of Tigo Energy, Inc. (incorporated by reference to Exhibit 10.21 to the Company’s Registration Statement on Form S-4/A (File No. 333-264811), filed with the Securities and Exchange Commission on April 20,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r:id="rId27">
              <w:r>
                <w:rPr>
                  <w:rStyle w:val="InternetLink"/>
                  <w:sz w:val="20"/>
                </w:rPr>
                <w:t>2023 Equity Incentive Plan of Tigo Energy, Inc. (incorporated by reference to Exhibit 10.4 to the Company’s Current Report on Form 8-K (File No. 001-40710), filed with the Securities and Exchange Commission on May 30, 2023).</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4-8_tigoenergy.htm">
              <w:r>
                <w:rPr>
                  <w:rStyle w:val="InternetLink"/>
                  <w:sz w:val="20"/>
                </w:rPr>
                <w:t>Form of Restricted Stock Unit Award Grant Notice.</w:t>
              </w:r>
            </w:hyperlink>
            <w:r>
              <w:rPr>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4-9_tigoenergy.htm">
              <w:r>
                <w:rPr>
                  <w:rStyle w:val="InternetLink"/>
                  <w:sz w:val="20"/>
                </w:rPr>
                <w:t>Form of Stock Option Grant Notice.</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4-10_tigoenergy.htm">
              <w:r>
                <w:rPr>
                  <w:rStyle w:val="InternetLink"/>
                  <w:sz w:val="20"/>
                </w:rPr>
                <w:t>Form of Non-Employee Director Restricted Stock Unit Award Agreement.</w:t>
              </w:r>
            </w:hyperlink>
            <w:r>
              <w:rPr>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4-11_tigoenergy.htm">
              <w:r>
                <w:rPr>
                  <w:rStyle w:val="InternetLink"/>
                  <w:sz w:val="20"/>
                </w:rPr>
                <w:t>Form of Stock Appreciation Right Award Agreement for China Grantees.</w:t>
              </w:r>
            </w:hyperlink>
            <w:r>
              <w:rPr>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4.12*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4-12_tigoenergy.htm">
              <w:r>
                <w:rPr>
                  <w:rStyle w:val="InternetLink"/>
                  <w:sz w:val="20"/>
                </w:rPr>
                <w:t>Form of Stock Option Grant Notice for Israeli Participants.</w:t>
              </w:r>
            </w:hyperlink>
            <w:r>
              <w:rPr>
                <w:sz w:val="20"/>
              </w:rPr>
              <w:t xml:space="preserve"> </w:t>
            </w:r>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5-1_tigoenergy.htm">
              <w:r>
                <w:rPr>
                  <w:rStyle w:val="InternetLink"/>
                  <w:sz w:val="20"/>
                </w:rPr>
                <w:t xml:space="preserve">Opinion of White &amp; Case LLP with respect to the legality of the Common Stock being registered. </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23-1_tigoenergy.htm">
              <w:r>
                <w:rPr>
                  <w:rStyle w:val="InternetLink"/>
                  <w:sz w:val="20"/>
                </w:rPr>
                <w:t xml:space="preserve">Consent of Marcum LLP. </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23-2_tigoenergy.htm">
              <w:r>
                <w:rPr>
                  <w:rStyle w:val="InternetLink"/>
                  <w:sz w:val="20"/>
                </w:rPr>
                <w:t xml:space="preserve">Consent of Frank, Rimerman + Co. LLP. </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5-1_tigoenergy.htm">
              <w:r>
                <w:rPr>
                  <w:rStyle w:val="InternetLink"/>
                  <w:sz w:val="20"/>
                </w:rPr>
                <w:t xml:space="preserve">Consent of White &amp; Case LLP (included in Exhibit 5.1 to this Registration Statement). </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s_001">
              <w:r>
                <w:rPr>
                  <w:rStyle w:val="InternetLink"/>
                  <w:sz w:val="20"/>
                </w:rPr>
                <w:t>Power of Attorney of certain officers and directors (included on the signature page to this Registration Statement).</w:t>
              </w:r>
            </w:hyperlink>
          </w:p>
        </w:tc>
      </w:tr>
      <w:tr>
        <w:trPr/>
        <w:tc>
          <w:tcPr>
            <w:tcW w:w="725" w:type="dxa"/>
            <w:tcBorders/>
            <w:shd w:fill="FFFFFF" w:val="clear"/>
            <w:tcMar>
              <w:bottom w:w="0" w:type="dxa"/>
            </w:tcMar>
            <w:vAlign w:val="center"/>
          </w:tcPr>
          <w:p>
            <w:pPr>
              <w:pStyle w:val="TableContents"/>
              <w:bidi w:val="0"/>
              <w:spacing w:before="0" w:after="283"/>
              <w:jc w:val="left"/>
              <w:rPr/>
            </w:pPr>
            <w:r>
              <w:rPr/>
              <w:t> </w:t>
            </w:r>
          </w:p>
        </w:tc>
        <w:tc>
          <w:tcPr>
            <w:tcW w:w="9480" w:type="dxa"/>
            <w:gridSpan w:val="2"/>
            <w:tcBorders/>
            <w:shd w:fill="FFFFFF" w:val="clear"/>
            <w:tcMar>
              <w:bottom w:w="0" w:type="dxa"/>
            </w:tcMar>
            <w:vAlign w:val="center"/>
          </w:tcPr>
          <w:p>
            <w:pPr>
              <w:pStyle w:val="TableContents"/>
              <w:bidi w:val="0"/>
              <w:spacing w:before="0" w:after="283"/>
              <w:jc w:val="left"/>
              <w:rPr/>
            </w:pPr>
            <w:r>
              <w:rPr/>
              <w:t> </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3124ex-fee_tigoenergy.htm">
              <w:r>
                <w:rPr>
                  <w:rStyle w:val="InternetLink"/>
                  <w:sz w:val="20"/>
                </w:rPr>
                <w:t>Filing Fee Table.</w:t>
              </w:r>
            </w:hyperlink>
          </w:p>
        </w:tc>
      </w:tr>
      <w:tr>
        <w:trPr/>
        <w:tc>
          <w:tcPr>
            <w:tcW w:w="10205" w:type="dxa"/>
            <w:gridSpan w:val="3"/>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40"/>
        <w:gridCol w:w="13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40" w:type="dxa"/>
            <w:tcBorders/>
            <w:vAlign w:val="center"/>
          </w:tcPr>
          <w:p>
            <w:pPr>
              <w:pStyle w:val="TableContents"/>
              <w:bidi w:val="0"/>
              <w:spacing w:before="0" w:after="283"/>
              <w:jc w:val="both"/>
              <w:rPr/>
            </w:pPr>
            <w:r>
              <w:rPr/>
              <w:t>  </w:t>
            </w: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Undertakings.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230"/>
        <w:gridCol w:w="392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sz w:val="20"/>
              </w:rPr>
            </w:pPr>
            <w:r>
              <w:rPr>
                <w:sz w:val="20"/>
              </w:rPr>
              <w:t>(a)</w:t>
            </w:r>
          </w:p>
        </w:tc>
        <w:tc>
          <w:tcPr>
            <w:tcW w:w="3920" w:type="dxa"/>
            <w:tcBorders/>
            <w:vAlign w:val="center"/>
          </w:tcPr>
          <w:p>
            <w:pPr>
              <w:pStyle w:val="TableContents"/>
              <w:bidi w:val="0"/>
              <w:spacing w:before="0" w:after="283"/>
              <w:jc w:val="both"/>
              <w:rPr>
                <w:sz w:val="20"/>
              </w:rPr>
            </w:pPr>
            <w:r>
              <w:rPr>
                <w:sz w:val="20"/>
              </w:rPr>
              <w:t xml:space="preserve">The undersigned Registrant hereby undertakes: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283"/>
              <w:jc w:val="both"/>
              <w:rPr>
                <w:sz w:val="20"/>
              </w:rPr>
            </w:pPr>
            <w:r>
              <w:rPr>
                <w:sz w:val="20"/>
              </w:rPr>
              <w:t>(1)</w:t>
            </w:r>
          </w:p>
        </w:tc>
        <w:tc>
          <w:tcPr>
            <w:tcW w:w="9887" w:type="dxa"/>
            <w:tcBorders/>
            <w:vAlign w:val="center"/>
          </w:tcPr>
          <w:p>
            <w:pPr>
              <w:pStyle w:val="TableContents"/>
              <w:bidi w:val="0"/>
              <w:spacing w:before="0" w:after="283"/>
              <w:jc w:val="both"/>
              <w:rPr>
                <w:sz w:val="20"/>
              </w:rPr>
            </w:pPr>
            <w:r>
              <w:rPr>
                <w:sz w:val="20"/>
              </w:rPr>
              <w:t xml:space="preserve">To file, during any period in which offers or sales are being made, a post-effective amendment to this Registration Statement: </w:t>
            </w:r>
          </w:p>
        </w:tc>
      </w:tr>
    </w:tbl>
    <w:p>
      <w:pPr>
        <w:pStyle w:val="TextBody"/>
        <w:bidi w:val="0"/>
        <w:spacing w:before="0" w:after="0"/>
        <w:ind w:left="27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00"/>
        <w:gridCol w:w="6230"/>
      </w:tblGrid>
      <w:tr>
        <w:trPr/>
        <w:tc>
          <w:tcPr>
            <w:tcW w:w="7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sz w:val="20"/>
              </w:rPr>
            </w:pPr>
            <w:r>
              <w:rPr>
                <w:sz w:val="20"/>
              </w:rPr>
              <w:t>(i)</w:t>
            </w:r>
          </w:p>
        </w:tc>
        <w:tc>
          <w:tcPr>
            <w:tcW w:w="6230" w:type="dxa"/>
            <w:tcBorders/>
            <w:vAlign w:val="center"/>
          </w:tcPr>
          <w:p>
            <w:pPr>
              <w:pStyle w:val="TableContents"/>
              <w:bidi w:val="0"/>
              <w:spacing w:before="0" w:after="283"/>
              <w:jc w:val="both"/>
              <w:rPr>
                <w:sz w:val="20"/>
              </w:rPr>
            </w:pPr>
            <w:r>
              <w:rPr>
                <w:sz w:val="20"/>
              </w:rPr>
              <w:t xml:space="preserve">to include any prospectus required by Section 10(a)(3) of the Securities Act; </w:t>
            </w:r>
          </w:p>
        </w:tc>
      </w:tr>
    </w:tbl>
    <w:p>
      <w:pPr>
        <w:pStyle w:val="TextBody"/>
        <w:bidi w:val="0"/>
        <w:spacing w:before="0" w:after="0"/>
        <w:ind w:left="4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pPr>
            <w:r>
              <w:rPr/>
              <w:t> </w:t>
            </w:r>
          </w:p>
        </w:tc>
        <w:tc>
          <w:tcPr>
            <w:tcW w:w="207" w:type="dxa"/>
            <w:tcBorders/>
            <w:vAlign w:val="center"/>
          </w:tcPr>
          <w:p>
            <w:pPr>
              <w:pStyle w:val="TableContents"/>
              <w:bidi w:val="0"/>
              <w:spacing w:before="0" w:after="283"/>
              <w:jc w:val="both"/>
              <w:rPr>
                <w:sz w:val="20"/>
              </w:rPr>
            </w:pPr>
            <w:r>
              <w:rPr>
                <w:sz w:val="20"/>
              </w:rPr>
              <w:t>(ii)</w:t>
            </w:r>
          </w:p>
        </w:tc>
        <w:tc>
          <w:tcPr>
            <w:tcW w:w="9923" w:type="dxa"/>
            <w:tcBorders/>
            <w:vAlign w:val="center"/>
          </w:tcPr>
          <w:p>
            <w:pPr>
              <w:pStyle w:val="TableContents"/>
              <w:bidi w:val="0"/>
              <w:spacing w:before="0" w:after="283"/>
              <w:jc w:val="both"/>
              <w:rPr>
                <w:sz w:val="20"/>
              </w:rPr>
            </w:pPr>
            <w:r>
              <w:rPr>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and </w:t>
            </w:r>
          </w:p>
        </w:tc>
      </w:tr>
    </w:tbl>
    <w:p>
      <w:pPr>
        <w:pStyle w:val="TextBody"/>
        <w:bidi w:val="0"/>
        <w:spacing w:before="0" w:after="0"/>
        <w:ind w:left="45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both"/>
              <w:rPr/>
            </w:pPr>
            <w:r>
              <w:rPr/>
              <w:t> </w:t>
            </w:r>
          </w:p>
        </w:tc>
        <w:tc>
          <w:tcPr>
            <w:tcW w:w="293" w:type="dxa"/>
            <w:tcBorders/>
            <w:vAlign w:val="center"/>
          </w:tcPr>
          <w:p>
            <w:pPr>
              <w:pStyle w:val="TableContents"/>
              <w:bidi w:val="0"/>
              <w:spacing w:before="0" w:after="283"/>
              <w:jc w:val="both"/>
              <w:rPr>
                <w:sz w:val="20"/>
              </w:rPr>
            </w:pPr>
            <w:r>
              <w:rPr>
                <w:sz w:val="20"/>
              </w:rPr>
              <w:t>(iii)</w:t>
            </w:r>
          </w:p>
        </w:tc>
        <w:tc>
          <w:tcPr>
            <w:tcW w:w="9837" w:type="dxa"/>
            <w:tcBorders/>
            <w:vAlign w:val="center"/>
          </w:tcPr>
          <w:p>
            <w:pPr>
              <w:pStyle w:val="TableContents"/>
              <w:bidi w:val="0"/>
              <w:spacing w:before="0" w:after="283"/>
              <w:jc w:val="both"/>
              <w:rPr>
                <w:sz w:val="20"/>
              </w:rPr>
            </w:pPr>
            <w:r>
              <w:rPr>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0" w:after="0"/>
        <w:ind w:left="0" w:right="0" w:firstLine="1102"/>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both"/>
              <w:rPr/>
            </w:pPr>
            <w:r>
              <w:rPr/>
              <w:t> </w:t>
            </w:r>
          </w:p>
        </w:tc>
        <w:tc>
          <w:tcPr>
            <w:tcW w:w="206" w:type="dxa"/>
            <w:tcBorders/>
            <w:vAlign w:val="center"/>
          </w:tcPr>
          <w:p>
            <w:pPr>
              <w:pStyle w:val="TableContents"/>
              <w:bidi w:val="0"/>
              <w:spacing w:before="0" w:after="283"/>
              <w:jc w:val="both"/>
              <w:rPr>
                <w:sz w:val="20"/>
              </w:rPr>
            </w:pPr>
            <w:r>
              <w:rPr>
                <w:sz w:val="20"/>
              </w:rPr>
              <w:t>(2)</w:t>
            </w:r>
          </w:p>
        </w:tc>
        <w:tc>
          <w:tcPr>
            <w:tcW w:w="9924" w:type="dxa"/>
            <w:tcBorders/>
            <w:vAlign w:val="center"/>
          </w:tcPr>
          <w:p>
            <w:pPr>
              <w:pStyle w:val="TableContents"/>
              <w:bidi w:val="0"/>
              <w:spacing w:before="0" w:after="283"/>
              <w:jc w:val="both"/>
              <w:rPr>
                <w:sz w:val="20"/>
              </w:rPr>
            </w:pPr>
            <w:r>
              <w:rPr>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 </w:t>
            </w:r>
          </w:p>
        </w:tc>
      </w:tr>
    </w:tbl>
    <w:p>
      <w:pPr>
        <w:pStyle w:val="TextBody"/>
        <w:bidi w:val="0"/>
        <w:spacing w:before="0" w:after="0"/>
        <w:ind w:left="27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both"/>
              <w:rPr>
                <w:sz w:val="20"/>
              </w:rPr>
            </w:pPr>
            <w:r>
              <w:rPr>
                <w:sz w:val="20"/>
              </w:rPr>
              <w:t>(3)</w:t>
            </w:r>
          </w:p>
        </w:tc>
        <w:tc>
          <w:tcPr>
            <w:tcW w:w="9902" w:type="dxa"/>
            <w:tcBorders/>
            <w:vAlign w:val="center"/>
          </w:tcPr>
          <w:p>
            <w:pPr>
              <w:pStyle w:val="TableContents"/>
              <w:bidi w:val="0"/>
              <w:spacing w:before="0" w:after="283"/>
              <w:jc w:val="both"/>
              <w:rPr>
                <w:sz w:val="20"/>
              </w:rPr>
            </w:pPr>
            <w:r>
              <w:rPr>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both"/>
              <w:rPr/>
            </w:pPr>
            <w:r>
              <w:rPr/>
              <w:t> </w:t>
            </w:r>
          </w:p>
        </w:tc>
        <w:tc>
          <w:tcPr>
            <w:tcW w:w="195" w:type="dxa"/>
            <w:tcBorders/>
            <w:vAlign w:val="center"/>
          </w:tcPr>
          <w:p>
            <w:pPr>
              <w:pStyle w:val="TableContents"/>
              <w:bidi w:val="0"/>
              <w:spacing w:before="0" w:after="283"/>
              <w:jc w:val="both"/>
              <w:rPr>
                <w:sz w:val="20"/>
              </w:rPr>
            </w:pPr>
            <w:r>
              <w:rPr>
                <w:sz w:val="20"/>
              </w:rPr>
              <w:t>(b)</w:t>
            </w:r>
          </w:p>
        </w:tc>
        <w:tc>
          <w:tcPr>
            <w:tcW w:w="9935" w:type="dxa"/>
            <w:tcBorders/>
            <w:vAlign w:val="center"/>
          </w:tcPr>
          <w:p>
            <w:pPr>
              <w:pStyle w:val="TableContents"/>
              <w:bidi w:val="0"/>
              <w:spacing w:before="0" w:after="283"/>
              <w:jc w:val="both"/>
              <w:rPr>
                <w:sz w:val="20"/>
              </w:rPr>
            </w:pPr>
            <w:r>
              <w:rPr>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both"/>
              <w:rPr/>
            </w:pPr>
            <w:r>
              <w:rPr/>
              <w:t> </w:t>
            </w:r>
          </w:p>
        </w:tc>
        <w:tc>
          <w:tcPr>
            <w:tcW w:w="176" w:type="dxa"/>
            <w:tcBorders/>
            <w:vAlign w:val="center"/>
          </w:tcPr>
          <w:p>
            <w:pPr>
              <w:pStyle w:val="TableContents"/>
              <w:bidi w:val="0"/>
              <w:spacing w:before="0" w:after="283"/>
              <w:jc w:val="both"/>
              <w:rPr>
                <w:sz w:val="20"/>
              </w:rPr>
            </w:pPr>
            <w:r>
              <w:rPr>
                <w:sz w:val="20"/>
              </w:rPr>
              <w:t>(c)</w:t>
            </w:r>
          </w:p>
        </w:tc>
        <w:tc>
          <w:tcPr>
            <w:tcW w:w="9954" w:type="dxa"/>
            <w:tcBorders/>
            <w:vAlign w:val="center"/>
          </w:tcPr>
          <w:p>
            <w:pPr>
              <w:pStyle w:val="TableContents"/>
              <w:bidi w:val="0"/>
              <w:spacing w:before="0" w:after="283"/>
              <w:jc w:val="both"/>
              <w:rPr>
                <w:sz w:val="20"/>
              </w:rPr>
            </w:pPr>
            <w:r>
              <w:rPr>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001"/>
      <w:bookmarkEnd w:id="13"/>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Campbell, State of California on the 10th day of August, 2023.</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560"/>
        <w:gridCol w:w="3125"/>
        <w:gridCol w:w="75"/>
      </w:tblGrid>
      <w:tr>
        <w:trPr/>
        <w:tc>
          <w:tcPr>
            <w:tcW w:w="3685" w:type="dxa"/>
            <w:gridSpan w:val="2"/>
            <w:tcBorders/>
            <w:vAlign w:val="center"/>
          </w:tcPr>
          <w:p>
            <w:pPr>
              <w:pStyle w:val="TableContents"/>
              <w:bidi w:val="0"/>
              <w:spacing w:before="0" w:after="283"/>
              <w:jc w:val="left"/>
              <w:rPr>
                <w:b/>
                <w:sz w:val="20"/>
              </w:rPr>
            </w:pPr>
            <w:r>
              <w:rPr>
                <w:b/>
                <w:sz w:val="20"/>
              </w:rPr>
              <w:t>TIGO ENERGY,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By:</w:t>
            </w:r>
          </w:p>
        </w:tc>
        <w:tc>
          <w:tcPr>
            <w:tcW w:w="3125"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Zvi Alon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3125" w:type="dxa"/>
            <w:tcBorders/>
            <w:vAlign w:val="center"/>
          </w:tcPr>
          <w:p>
            <w:pPr>
              <w:pStyle w:val="TableContents"/>
              <w:bidi w:val="0"/>
              <w:spacing w:before="0" w:after="283"/>
              <w:jc w:val="left"/>
              <w:rPr>
                <w:sz w:val="20"/>
              </w:rPr>
            </w:pPr>
            <w:r>
              <w:rPr>
                <w:sz w:val="20"/>
              </w:rPr>
              <w:t>Zvi Alon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3125" w:type="dxa"/>
            <w:tcBorders/>
            <w:vAlign w:val="center"/>
          </w:tcPr>
          <w:p>
            <w:pPr>
              <w:pStyle w:val="TableContents"/>
              <w:bidi w:val="0"/>
              <w:spacing w:before="0" w:after="283"/>
              <w:jc w:val="left"/>
              <w:rPr>
                <w:sz w:val="20"/>
              </w:rPr>
            </w:pPr>
            <w:r>
              <w:rPr>
                <w:sz w:val="20"/>
              </w:rPr>
              <w:t>Chief Executive Officer and 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KNOW ALL PERSONS BY THESE PRESENTS, that each of the undersigned constitutes and appoints each of Zvi Alon and Bill </w:t>
      </w:r>
      <w:r>
        <w:rPr>
          <w:rFonts w:ascii="Times New Roman;Times;Serif" w:hAnsi="Times New Roman;Times;Serif"/>
          <w:b w:val="false"/>
          <w:i w:val="false"/>
          <w:caps w:val="false"/>
          <w:smallCaps w:val="false"/>
          <w:sz w:val="20"/>
          <w:shd w:fill="FFFFFF" w:val="clear"/>
        </w:rPr>
        <w:t>Roeschlein</w:t>
      </w:r>
      <w:r>
        <w:rPr>
          <w:rFonts w:ascii="Times New Roman;Times;Serif" w:hAnsi="Times New Roman;Times;Serif"/>
          <w:b w:val="false"/>
          <w:i w:val="false"/>
          <w:caps w:val="false"/>
          <w:smallCaps w:val="false"/>
          <w:sz w:val="20"/>
        </w:rPr>
        <w:t>, each acting alone, their true and lawful attorneys-in-fact and agents, with full power of substitution and resubstitution, for such person and in their name, place and stead, in any and all capacities, to sign this Registration Statement on Form S-8 and all post-effective amendments thereto, of Tigo Energy,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270" w:type="dxa"/>
        <w:jc w:val="left"/>
        <w:tblInd w:w="0" w:type="dxa"/>
        <w:tblLayout w:type="fixed"/>
        <w:tblCellMar>
          <w:top w:w="0" w:type="dxa"/>
          <w:left w:w="0" w:type="dxa"/>
          <w:bottom w:w="28" w:type="dxa"/>
          <w:right w:w="0" w:type="dxa"/>
        </w:tblCellMar>
      </w:tblPr>
      <w:tblGrid>
        <w:gridCol w:w="1640"/>
        <w:gridCol w:w="60"/>
        <w:gridCol w:w="3125"/>
        <w:gridCol w:w="60"/>
        <w:gridCol w:w="1385"/>
      </w:tblGrid>
      <w:tr>
        <w:trPr/>
        <w:tc>
          <w:tcPr>
            <w:tcW w:w="1640" w:type="dxa"/>
            <w:tcBorders>
              <w:bottom w:val="single" w:sz="12"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125" w:type="dxa"/>
            <w:tcBorders>
              <w:bottom w:val="single" w:sz="12" w:space="0" w:color="000000"/>
            </w:tcBorders>
            <w:vAlign w:val="center"/>
          </w:tcPr>
          <w:p>
            <w:pPr>
              <w:pStyle w:val="TableContents"/>
              <w:bidi w:val="0"/>
              <w:spacing w:before="0" w:after="283"/>
              <w:jc w:val="center"/>
              <w:rPr>
                <w:b/>
                <w:sz w:val="20"/>
              </w:rPr>
            </w:pPr>
            <w:r>
              <w:rPr>
                <w:b/>
                <w:sz w:val="20"/>
              </w:rPr>
              <w:t>Title of Capacities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Zvi Alon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Chief Executive Officer and Chairman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sz w:val="20"/>
              </w:rPr>
            </w:pPr>
            <w:r>
              <w:rPr>
                <w:sz w:val="20"/>
              </w:rPr>
              <w:t>Zvi Alon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Bill Roeschlein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 xml:space="preserve">Chief Financial Officer and Secretary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Bill Roeschlein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(Principal Financial Officer and</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Splinter</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Michael Splinter</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shd w:fill="FFFFFF" w:val="clear"/>
              </w:rPr>
              <w:t>Stanley Stern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Stanley Stern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Wilson</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John Wilson </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shd w:fill="FFFFFF" w:val="clear"/>
              </w:rPr>
              <w:t>Tomer Babai</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Tomer Babai</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Joan C. Conley</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r>
              <w:rPr>
                <w:sz w:val="20"/>
              </w:rPr>
              <w:t>August 10, 2023</w:t>
            </w:r>
          </w:p>
        </w:tc>
      </w:tr>
      <w:tr>
        <w:trPr/>
        <w:tc>
          <w:tcPr>
            <w:tcW w:w="164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Joan C. Conley </w:t>
            </w:r>
          </w:p>
        </w:tc>
        <w:tc>
          <w:tcPr>
            <w:tcW w:w="60" w:type="dxa"/>
            <w:tcBorders/>
            <w:tcMar>
              <w:bottom w:w="0" w:type="dxa"/>
            </w:tcMar>
            <w:vAlign w:val="center"/>
          </w:tcPr>
          <w:p>
            <w:pPr>
              <w:pStyle w:val="TableContents"/>
              <w:bidi w:val="0"/>
              <w:spacing w:before="0" w:after="283"/>
              <w:jc w:val="left"/>
              <w:rPr/>
            </w:pPr>
            <w:r>
              <w:rPr/>
              <w:t> </w:t>
            </w:r>
          </w:p>
        </w:tc>
        <w:tc>
          <w:tcPr>
            <w:tcW w:w="3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left"/>
              <w:rPr/>
            </w:pPr>
            <w:r>
              <w:rPr/>
              <w:t> </w:t>
            </w:r>
          </w:p>
        </w:tc>
      </w:tr>
      <w:tr>
        <w:trPr/>
        <w:tc>
          <w:tcPr>
            <w:tcW w:w="1640" w:type="dxa"/>
            <w:tcBorders/>
            <w:tcMar>
              <w:bottom w:w="0" w:type="dxa"/>
            </w:tcMar>
            <w:vAlign w:val="center"/>
          </w:tcPr>
          <w:p>
            <w:pPr>
              <w:pStyle w:val="TableContents"/>
              <w:bidi w:val="0"/>
              <w:spacing w:before="0" w:after="283"/>
              <w:jc w:val="left"/>
              <w:rPr/>
            </w:pPr>
            <w:r>
              <w:rPr/>
              <w:t> </w:t>
            </w:r>
          </w:p>
        </w:tc>
        <w:tc>
          <w:tcPr>
            <w:tcW w:w="3185" w:type="dxa"/>
            <w:gridSpan w:val="2"/>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14" w:name="ea183124ex4-8_tigoenergy.htm"/>
      <w:bookmarkStart w:id="15" w:name="ksea183124ex48_tigoenergy"/>
      <w:bookmarkEnd w:id="14"/>
      <w:bookmarkEnd w:id="15"/>
      <w:r>
        <w:rPr>
          <w:b/>
        </w:rPr>
        <w:t>Exhibit 4.8</w:t>
      </w:r>
      <w:r>
        <w:br w:type="page"/>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br/>
        <w:t xml:space="preserve">2023 INCENTIVE PLAN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2023 Incentive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hereby grants to the holder listed below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award of restricted stock units (“</w:t>
      </w: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xml:space="preserve">”). Each vested Restricted Stock Unit represents the right to receive, in accordance with the Restricted Stock Unit Award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one share of Common Stock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and the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6"/>
        <w:gridCol w:w="8189"/>
      </w:tblGrid>
      <w:tr>
        <w:trPr/>
        <w:tc>
          <w:tcPr>
            <w:tcW w:w="2016" w:type="dxa"/>
            <w:tcBorders/>
            <w:vAlign w:val="center"/>
          </w:tcPr>
          <w:p>
            <w:pPr>
              <w:pStyle w:val="TableContents"/>
              <w:bidi w:val="0"/>
              <w:spacing w:before="0" w:after="0"/>
              <w:ind w:left="0" w:right="0" w:hanging="7"/>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c>
          <w:tcPr>
            <w:tcW w:w="8189" w:type="dxa"/>
            <w:tcBorders/>
            <w:vAlign w:val="center"/>
          </w:tcPr>
          <w:p>
            <w:pPr>
              <w:pStyle w:val="TableContents"/>
              <w:bidi w:val="0"/>
              <w:spacing w:before="0" w:after="283"/>
              <w:jc w:val="left"/>
              <w:rPr/>
            </w:pPr>
            <w:r>
              <w:rPr/>
              <w:t>[__________________________]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Grant Date:</w:t>
            </w:r>
          </w:p>
        </w:tc>
        <w:tc>
          <w:tcPr>
            <w:tcW w:w="8189" w:type="dxa"/>
            <w:tcBorders/>
            <w:vAlign w:val="center"/>
          </w:tcPr>
          <w:p>
            <w:pPr>
              <w:pStyle w:val="TableContents"/>
              <w:bidi w:val="0"/>
              <w:spacing w:before="0" w:after="283"/>
              <w:jc w:val="left"/>
              <w:rPr/>
            </w:pPr>
            <w:r>
              <w:rPr/>
              <w:t>[__________________________]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Total Number of RSUs:</w:t>
            </w:r>
          </w:p>
        </w:tc>
        <w:tc>
          <w:tcPr>
            <w:tcW w:w="8189" w:type="dxa"/>
            <w:tcBorders/>
            <w:vAlign w:val="center"/>
          </w:tcPr>
          <w:p>
            <w:pPr>
              <w:pStyle w:val="TableContents"/>
              <w:bidi w:val="0"/>
              <w:spacing w:before="0" w:after="283"/>
              <w:jc w:val="left"/>
              <w:rPr/>
            </w:pPr>
            <w:r>
              <w:rPr/>
              <w:t>[_____________]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Vesting Commencement Date:</w:t>
            </w:r>
          </w:p>
        </w:tc>
        <w:tc>
          <w:tcPr>
            <w:tcW w:w="8189" w:type="dxa"/>
            <w:tcBorders/>
            <w:vAlign w:val="center"/>
          </w:tcPr>
          <w:p>
            <w:pPr>
              <w:pStyle w:val="TableContents"/>
              <w:bidi w:val="0"/>
              <w:spacing w:before="0" w:after="283"/>
              <w:jc w:val="left"/>
              <w:rPr/>
            </w:pPr>
            <w:r>
              <w:rPr/>
              <w:t>[_____________]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Vesting Schedule:</w:t>
            </w:r>
          </w:p>
        </w:tc>
        <w:tc>
          <w:tcPr>
            <w:tcW w:w="8189" w:type="dxa"/>
            <w:tcBorders/>
            <w:vAlign w:val="center"/>
          </w:tcPr>
          <w:p>
            <w:pPr>
              <w:pStyle w:val="TableContents"/>
              <w:bidi w:val="0"/>
              <w:spacing w:before="0" w:after="283"/>
              <w:jc w:val="both"/>
              <w:rPr/>
            </w:pPr>
            <w:r>
              <w:rPr/>
              <w:t>One-Third (1/3) of the RSUs shall vest on each of the first three anniversaries of the Vesting Commencement Date, subject to Participant’s continued employment or service through each such date.</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both"/>
              <w:rPr/>
            </w:pPr>
            <w:r>
              <w:rPr/>
              <w:t> </w:t>
            </w:r>
          </w:p>
        </w:tc>
      </w:tr>
      <w:tr>
        <w:trPr/>
        <w:tc>
          <w:tcPr>
            <w:tcW w:w="2016" w:type="dxa"/>
            <w:tcBorders/>
            <w:vAlign w:val="center"/>
          </w:tcPr>
          <w:p>
            <w:pPr>
              <w:pStyle w:val="TableContents"/>
              <w:bidi w:val="0"/>
              <w:spacing w:before="0" w:after="283"/>
              <w:jc w:val="left"/>
              <w:rPr>
                <w:b/>
              </w:rPr>
            </w:pPr>
            <w:r>
              <w:rPr>
                <w:b/>
              </w:rPr>
              <w:t>Termination:</w:t>
            </w:r>
          </w:p>
        </w:tc>
        <w:tc>
          <w:tcPr>
            <w:tcW w:w="8189" w:type="dxa"/>
            <w:tcBorders/>
            <w:vAlign w:val="center"/>
          </w:tcPr>
          <w:p>
            <w:pPr>
              <w:pStyle w:val="TableContents"/>
              <w:bidi w:val="0"/>
              <w:spacing w:before="0" w:after="283"/>
              <w:jc w:val="both"/>
              <w:rPr/>
            </w:pPr>
            <w:r>
              <w:rPr/>
              <w:t>If the Participant experiences a termination of employment or service with the Company or its Subsidiaries, all RSUs that have not become vested on or prior to the date of such termination of employment or service will thereupon be automatically forfeited by the Participant without payment of any consideration therefor.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 of the Agreement and the Plan. </w:t>
      </w:r>
      <w:r>
        <w:rPr>
          <w:rFonts w:ascii="Times New Roman;Times;Serif" w:hAnsi="Times New Roman;Times;Serif"/>
          <w:b/>
          <w:i w:val="false"/>
          <w:caps w:val="false"/>
          <w:smallCaps w:val="false"/>
          <w:sz w:val="20"/>
        </w:rPr>
        <w:t>Unless the Participant chooses to satisfy his or her tax withholding obligation by making a cash payment to the Company not less than five (5) business days before any withholding obligation arises, the Participant’s acceptance of this Agreement constitutes his or her instruction and authorization to the Company and any brokerage firm determined acceptable to the Company for such purpose to sell on Participant’s behalf shares of Common Stock from those Shares issuable to Participant as the Company determines to be appropriate to generate cash proceeds sufficient to satisfy Participant’s tax withholding obligation.</w:t>
      </w:r>
    </w:p>
    <w:p>
      <w:pPr>
        <w:pStyle w:val="TextBody"/>
        <w:bidi w:val="0"/>
        <w:spacing w:before="0" w:after="0"/>
        <w:ind w:left="0" w:right="0" w:firstLine="720"/>
        <w:jc w:val="both"/>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1963"/>
        <w:gridCol w:w="36"/>
        <w:gridCol w:w="60"/>
        <w:gridCol w:w="1663"/>
        <w:gridCol w:w="156"/>
      </w:tblGrid>
      <w:tr>
        <w:trPr/>
        <w:tc>
          <w:tcPr>
            <w:tcW w:w="199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TIGO ENERGY, INC.: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b/>
              </w:rPr>
            </w:pPr>
            <w:r>
              <w:rPr>
                <w:b/>
              </w:rPr>
              <w:t>PARTICIPANT:</w:t>
            </w:r>
          </w:p>
        </w:tc>
      </w:tr>
      <w:tr>
        <w:trPr/>
        <w:tc>
          <w:tcPr>
            <w:tcW w:w="19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both"/>
              <w:rPr/>
            </w:pPr>
            <w:r>
              <w:rPr/>
              <w:t>By:</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By:</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3" w:type="dxa"/>
            <w:tcBorders/>
            <w:vAlign w:val="center"/>
          </w:tcPr>
          <w:p>
            <w:pPr>
              <w:pStyle w:val="TableContents"/>
              <w:bidi w:val="0"/>
              <w:spacing w:before="0" w:after="283"/>
              <w:jc w:val="both"/>
              <w:rPr/>
            </w:pPr>
            <w:r>
              <w:rPr/>
              <w:t xml:space="preserve">Print Name: </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Print Name: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3" w:type="dxa"/>
            <w:tcBorders/>
            <w:vAlign w:val="center"/>
          </w:tcPr>
          <w:p>
            <w:pPr>
              <w:pStyle w:val="TableContents"/>
              <w:bidi w:val="0"/>
              <w:spacing w:before="0" w:after="283"/>
              <w:jc w:val="both"/>
              <w:rPr/>
            </w:pPr>
            <w:r>
              <w:rPr/>
              <w:t>Title:</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r>
      <w:tr>
        <w:trPr/>
        <w:tc>
          <w:tcPr>
            <w:tcW w:w="1963" w:type="dxa"/>
            <w:tcBorders/>
            <w:vAlign w:val="center"/>
          </w:tcPr>
          <w:p>
            <w:pPr>
              <w:pStyle w:val="TableContents"/>
              <w:bidi w:val="0"/>
              <w:spacing w:before="0" w:after="283"/>
              <w:jc w:val="both"/>
              <w:rPr/>
            </w:pPr>
            <w:r>
              <w:rPr/>
              <w:t xml:space="preserve">Address: </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xml:space="preserve">Address: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TO RESTRICTED STOCK UNIT AWARD GRANT NOTICE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RESTRICTED STOCK UNIT AWARD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Restricted Stock Unit Award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to which this Restricted Stock Unit Award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attached, 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the number of restricted stock units (“</w:t>
      </w: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set forth in the Grant Notice under the Company’s 2023 Incentive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Each Restricted Stock Unit represents the right to receive one share of Common Stock (a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upon vesting.</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GENERAL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not specifically defined herein shall have the meanings specified in the Plan and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RSUs are subject to the terms and conditions of the Plan, which are incorporated herein by reference. In the event of any inconsistency between the Plan and this Agreement, the terms of the Plan shall control.</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GRANT OF RESTRICTED STOCK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Grant of RSUs</w:t>
      </w:r>
      <w:r>
        <w:rPr>
          <w:rFonts w:ascii="Times New Roman;Times;Serif" w:hAnsi="Times New Roman;Times;Serif"/>
          <w:b w:val="false"/>
          <w:i w:val="false"/>
          <w:caps w:val="false"/>
          <w:smallCaps w:val="false"/>
          <w:sz w:val="20"/>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or continued employment with or service to the Company or any Subsidiaries and for other good and valuable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Unsecured Obligation to RSUs</w:t>
      </w:r>
      <w:r>
        <w:rPr>
          <w:rFonts w:ascii="Times New Roman;Times;Serif" w:hAnsi="Times New Roman;Times;Serif"/>
          <w:b w:val="false"/>
          <w:i w:val="false"/>
          <w:caps w:val="false"/>
          <w:smallCaps w:val="false"/>
          <w:sz w:val="20"/>
        </w:rPr>
        <w:t>. Unless and until the RSUs have vested in the manner set forth in Article 2 hereof, the Participant will have no right to receive Shares under any such RSUs. Prior to actual payment of any vested RSUs, such RSUs will represent an unsecured obligation of the Company, payable (if at all) only from the general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Subject to Section 2.5 hereof, the RSUs shall vest and become nonforfeitable with respect to the applicable portion thereof according to the vesting schedule set forth in the Grant Notice (rounding down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Consideration to the Company</w:t>
      </w:r>
      <w:r>
        <w:rPr>
          <w:rFonts w:ascii="Times New Roman;Times;Serif" w:hAnsi="Times New Roman;Times;Serif"/>
          <w:b w:val="false"/>
          <w:i w:val="false"/>
          <w:caps w:val="false"/>
          <w:smallCaps w:val="false"/>
          <w:sz w:val="20"/>
        </w:rPr>
        <w:t>. In consideration of the grant of the award of RSUs pursuant hereto, the Participant agrees to render faithful and efficient services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Forfeiture, Termination and Cancellation upon Termination of Service</w:t>
      </w:r>
      <w:r>
        <w:rPr>
          <w:rFonts w:ascii="Times New Roman;Times;Serif" w:hAnsi="Times New Roman;Times;Serif"/>
          <w:b w:val="false"/>
          <w:i w:val="false"/>
          <w:caps w:val="false"/>
          <w:smallCaps w:val="false"/>
          <w:sz w:val="20"/>
        </w:rPr>
        <w:t>. Notwithstanding any contrary provision of this Agreement or the Plan, upon the Participant’s termination of employment or service with the Company or its Subsidiaries for any or no reason, all Restricted Stock Units which have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RSUs. No portion of the RSUs which has not become vested as of the date on which the Participant incurs a termination of employment or service with the Company or its Subsidiaries shall thereafter become vested, except as may otherwise be provided by the Administrator or as set forth in a written agreement between the Company and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Issuance of Shares upon Vesting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9(d) of the Plan, the Shares shall be issued pursuant to the preceding sentence as soon as administratively practicable after the Administrator determines that Shares can again be issued in accordance with such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set forth in Section 14(c)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Additionally, the Company may, in its sole discretion, satisfy any withholding obligations relating to Participant’s RSUs by any of the following means or by a combination of such means: (i) withholding shares of Common Stock otherwise issuable to the Participant upon vesting of the RSUs, (ii) instructing a broker on the Participant’s behalf to sell shares of Common Stock otherwise issuable to the Participant upon vesting of the RSUs sufficient to generate net proceeds sufficient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and the net proceeds of such sale shall be submitted to the Company, (iii) requiring Participant to make a payment in cash to the Company, or (iv) using any other method approved by the Company, and to the extent required by applicable laws or the Plan, approved by the Administrator. Until determined otherwise by the Company, clause (ii) will be the method by which such withholding obligations are satisfied, unless the Participant choses to satisfy his or her withholding obligation in accordance with clause (iii) at any time not less than five (5) business days before any withholding obligation arises.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prejudice to the provisions of Section 14(c) of the Plan, Participant acknowledges that, regardless of any action taken by the Company or, if different, the Employer, the ultimate liability for all income tax, social security and other tax-related items related to Participant’s participation in the Plan and the RSUs and legally applicable to Participant or deemed by the Company, the Board or the Employer in its discretion to be an appropriate charge to Participant even if legally applicable to the Company, Board or the Employer (to the extent lawful) (collectively,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is and remains Participant’s responsibility and may exceed the amount (if any) withheld by the Company, the Board or the Employer, and Participant hereby covenants to pay any such Tax-Related Items, as and when requested by the Employer, the Company, the Board, any Affiliate or any tax authority. Participant further acknowledges that (i) neither the Company, the Board nor the Employer make any representation or undertaking regarding the treatment of any Tax-Related Items in connection with any aspect of the RSUs including, without limitation, the grant or vesting of the RSUs or the subsequent sale/disposal of the RSUs; and (ii) the Company, the Board and the Employer do not commit to and are under no obligation to structure the RSUs to reduce or eliminate Participant’s liability for Tax-Related Items or achieve any particular tax result. Further, if Participant is subject to Tax-Related Items in more than one jurisdiction between the date on which the RSUs are granted and the date of any relevant taxable or tax withholding event, as applicable, Participant acknowledges that the Company, the Board or the Employer (or former employer, as applicable) may be required to withhold or account for Tax-Related Items in more than one jurisdiction.</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Conditions to Delivery of Shares</w:t>
      </w:r>
      <w:r>
        <w:rPr>
          <w:rFonts w:ascii="Times New Roman;Times;Serif" w:hAnsi="Times New Roman;Times;Serif"/>
          <w:b w:val="false"/>
          <w:i w:val="false"/>
          <w:caps w:val="false"/>
          <w:smallCaps w:val="false"/>
          <w:sz w:val="20"/>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9(d)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12 or 13 of the Plan.</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OTHER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The RSUs shall be subject to the restrictions on transferability set forth in Section 14(b)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Amendment, Suspension and Termination</w:t>
      </w:r>
      <w:r>
        <w:rPr>
          <w:rFonts w:ascii="Times New Roman;Times;Serif" w:hAnsi="Times New Roman;Times;Serif"/>
          <w:b w:val="false"/>
          <w:i w:val="false"/>
          <w:caps w:val="false"/>
          <w:smallCaps w:val="false"/>
          <w:sz w:val="20"/>
        </w:rPr>
        <w:t xml:space="preserve">. To the extent permitted by the Plan, this Agreement may be wholly or partially amended or otherwise modified, suspended or terminated at any time or from time to time by the Administrator or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may otherwise be provided by the Plan, no amendment, modification, suspension or termination of this Agreement shall adversely affect the RSUs in any material way without the prior written consent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does not confer upon the Participant any right to be retained in the employ or service of the Company or any Affiliate shall not interfere with the ability of the Participant’s employer from time to time (the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to terminate the Participant’s service at any time, with or without cause, subject to Applicable Law.</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18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is established voluntarily by the Company. It is discretionary in nature and it may be modified, amended, suspended or terminated by the Company at any time, unless otherwise provided in the Plan and this Agreement. The grant of the RSUs is voluntary and occasional and does not create any contractual or other right to receive future grants of Awards, or benefits in lieu of Awards, even if Awards have been granted repeatedly in the past. All decisions with respect to future grants of Awards, if any, will be at the sole discretion of the Company. The RSUs are extraordinary items that do not constitute compensation of any kind for service of any kind rendered to the Company or Affiliate, and which are outside the scope of your employment contract, if any and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and/or its Affiliates will hold, collect and otherwise process certain personal data regarding the Participant in connection with the administration of this Award and the Plan. All personal data will be treated in accordance with applicable data protection laws and regulations.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16" w:name="ea183124ex4-9_tigoenergy.htm"/>
      <w:bookmarkStart w:id="17" w:name="ksea183124ex49_tigoenergy"/>
      <w:bookmarkEnd w:id="16"/>
      <w:bookmarkEnd w:id="17"/>
      <w:r>
        <w:rPr>
          <w:b/>
        </w:rPr>
        <w:t>Exhibit 4.9</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TIGO ENERGY, INC. </w:t>
      </w:r>
      <w:r>
        <w:rPr>
          <w:rFonts w:ascii="Times New Roman;Times;Serif" w:hAnsi="Times New Roman;Times;Serif"/>
          <w:b/>
          <w:i w:val="false"/>
          <w:caps/>
          <w:sz w:val="20"/>
        </w:rPr>
        <w:br/>
        <w:t>2023 INCENTIVE PLAN</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br/>
        <w:t>STOCK OPTION GRANT NOTICE</w:t>
      </w:r>
    </w:p>
    <w:p>
      <w:pPr>
        <w:pStyle w:val="TextBody"/>
        <w:bidi w:val="0"/>
        <w:spacing w:before="0" w:after="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2023 Incentive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hereby grants to the holder listed below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option to purchase the number of shares of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set forth below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xml:space="preserve">”). This Option is subject to all of the terms and conditions set forth herein, as well as in the Plan and the Stock Option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Stock Option Agreement</w:t>
      </w:r>
      <w:r>
        <w:rPr>
          <w:rFonts w:ascii="Times New Roman;Times;Serif" w:hAnsi="Times New Roman;Times;Serif"/>
          <w:b w:val="false"/>
          <w:i w:val="false"/>
          <w:caps w:val="false"/>
          <w:smallCaps w:val="false"/>
          <w:sz w:val="20"/>
        </w:rPr>
        <w:t>”), each of which are incorporated herein by reference. Unless otherwise defined herein, the terms defined in the Plan shall have the same defined meanings in this Grant Notice and the Stock Option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4"/>
        <w:gridCol w:w="8191"/>
      </w:tblGrid>
      <w:tr>
        <w:trPr/>
        <w:tc>
          <w:tcPr>
            <w:tcW w:w="2014" w:type="dxa"/>
            <w:tcBorders/>
            <w:vAlign w:val="center"/>
          </w:tcPr>
          <w:p>
            <w:pPr>
              <w:pStyle w:val="TableContents"/>
              <w:bidi w:val="0"/>
              <w:spacing w:before="0" w:after="283"/>
              <w:jc w:val="left"/>
              <w:rPr>
                <w:b/>
              </w:rPr>
            </w:pPr>
            <w:r>
              <w:rPr>
                <w:b/>
              </w:rPr>
              <w:t>Participant:</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Grant Date:</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Exercise Price per Share:</w:t>
            </w:r>
          </w:p>
        </w:tc>
        <w:tc>
          <w:tcPr>
            <w:tcW w:w="8191" w:type="dxa"/>
            <w:tcBorders/>
            <w:vAlign w:val="center"/>
          </w:tcPr>
          <w:p>
            <w:pPr>
              <w:pStyle w:val="TableContents"/>
              <w:bidi w:val="0"/>
              <w:spacing w:before="0" w:after="283"/>
              <w:jc w:val="left"/>
              <w:rPr/>
            </w:pPr>
            <w:r>
              <w:rPr/>
              <w:t>$[___________]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Total Exercise Price:</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 xml:space="preserve">Total Number of Shares </w:t>
              <w:br/>
              <w:t>Subject to the Option:</w:t>
            </w:r>
          </w:p>
        </w:tc>
        <w:tc>
          <w:tcPr>
            <w:tcW w:w="8191" w:type="dxa"/>
            <w:tcBorders/>
            <w:vAlign w:val="center"/>
          </w:tcPr>
          <w:p>
            <w:pPr>
              <w:pStyle w:val="TableContents"/>
              <w:bidi w:val="0"/>
              <w:spacing w:before="0" w:after="283"/>
              <w:jc w:val="left"/>
              <w:rPr/>
            </w:pPr>
            <w:r>
              <w:rPr/>
              <w:t xml:space="preserve">[____________] </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Expiration Date:</w:t>
            </w:r>
          </w:p>
        </w:tc>
        <w:tc>
          <w:tcPr>
            <w:tcW w:w="8191" w:type="dxa"/>
            <w:tcBorders/>
            <w:vAlign w:val="center"/>
          </w:tcPr>
          <w:p>
            <w:pPr>
              <w:pStyle w:val="TableContents"/>
              <w:bidi w:val="0"/>
              <w:spacing w:before="0" w:after="283"/>
              <w:jc w:val="left"/>
              <w:rPr/>
            </w:pPr>
            <w:r>
              <w:rPr/>
              <w:t>The Option will expire ten (10) years after the Grant Date.</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 xml:space="preserve">Vesting Commencement Date: </w:t>
            </w:r>
          </w:p>
        </w:tc>
        <w:tc>
          <w:tcPr>
            <w:tcW w:w="8191" w:type="dxa"/>
            <w:tcBorders/>
            <w:vAlign w:val="center"/>
          </w:tcPr>
          <w:p>
            <w:pPr>
              <w:pStyle w:val="TableContents"/>
              <w:bidi w:val="0"/>
              <w:spacing w:before="0" w:after="283"/>
              <w:jc w:val="left"/>
              <w:rPr/>
            </w:pPr>
            <w:r>
              <w:rPr/>
              <w:t>[_____________]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Vesting Schedule:</w:t>
            </w:r>
          </w:p>
        </w:tc>
        <w:tc>
          <w:tcPr>
            <w:tcW w:w="8191" w:type="dxa"/>
            <w:tcBorders/>
            <w:vAlign w:val="center"/>
          </w:tcPr>
          <w:p>
            <w:pPr>
              <w:pStyle w:val="TableContents"/>
              <w:bidi w:val="0"/>
              <w:spacing w:before="0" w:after="283"/>
              <w:jc w:val="left"/>
              <w:rPr/>
            </w:pPr>
            <w:r>
              <w:rPr/>
              <w:t>Twenty-five percent (25%) of the Option Shares shall vest twelve (12) months after the Vesting Commencement Date and 1/48th of the Option Shares shall vest on the last day of each calendar month thereafter, subject to Participant’s service through each such date.</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Termiation:</w:t>
            </w:r>
          </w:p>
        </w:tc>
        <w:tc>
          <w:tcPr>
            <w:tcW w:w="8191" w:type="dxa"/>
            <w:tcBorders/>
            <w:vAlign w:val="center"/>
          </w:tcPr>
          <w:p>
            <w:pPr>
              <w:pStyle w:val="TableContents"/>
              <w:bidi w:val="0"/>
              <w:spacing w:before="0" w:after="283"/>
              <w:jc w:val="both"/>
              <w:rPr/>
            </w:pPr>
            <w:r>
              <w:rPr/>
              <w:t>If the Participant experiences a termination of employment or service with the Company or its Subsidiaries, any portion of the Option that has not become vested on or prior to the date of such termination of employment or service will thereupon be automatically forfeited by the Participant without payment of any consideration therefor.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Type of Option: ☐ </w:t>
      </w:r>
      <w:r>
        <w:rPr>
          <w:rFonts w:ascii="Times New Roman;Times;Serif" w:hAnsi="Times New Roman;Times;Serif"/>
          <w:b w:val="false"/>
          <w:i w:val="false"/>
          <w:caps w:val="false"/>
          <w:smallCaps w:val="false"/>
          <w:sz w:val="20"/>
        </w:rPr>
        <w:t>Incentive Stock Option   ☐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his or her signature and the Company’s signature below, the Participant agrees to be bound by the terms and conditions of the Plan, the Stock Option Agreement and this Grant Notice. The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The Participant hereby agrees to accept as binding, conclusive and final all decisions or interpretations of the Administrator upon any questions arising under the Plan, the Stock Option Agreement or this Grant Notice. In addition, by signing below, the Participant also agrees that the Company, in its sole discretion, may satisfy any withholding obligations in accordance with Sections 4.3 and 4.4 of the Agreement and the Plan by (i) withholding Shares otherwise issuable to the Participant upon exercise of the Option, (ii) instructing a broker on the Participant’s behalf to sell Shares otherwise issuable to the Participant upon exercise of the Option and submit the proceeds of such sale to the Company, or (iii) using any other method permitted by Section 4.3 and 4.4 of the Agreement or the Plan.</w:t>
      </w:r>
    </w:p>
    <w:p>
      <w:pPr>
        <w:pStyle w:val="TextBody"/>
        <w:bidi w:val="0"/>
        <w:spacing w:before="0" w:after="0"/>
        <w:ind w:left="0" w:right="0" w:firstLine="720"/>
        <w:jc w:val="both"/>
        <w:rPr>
          <w:caps w:val="false"/>
          <w:smallCaps w:val="false"/>
        </w:rPr>
      </w:pPr>
      <w:r>
        <w:rPr>
          <w:caps w:val="false"/>
          <w:smallCaps w:val="false"/>
        </w:rPr>
        <w:t> </w:t>
      </w:r>
    </w:p>
    <w:tbl>
      <w:tblPr>
        <w:tblW w:w="4403" w:type="dxa"/>
        <w:jc w:val="left"/>
        <w:tblInd w:w="0" w:type="dxa"/>
        <w:tblLayout w:type="fixed"/>
        <w:tblCellMar>
          <w:top w:w="0" w:type="dxa"/>
          <w:left w:w="0" w:type="dxa"/>
          <w:bottom w:w="0" w:type="dxa"/>
          <w:right w:w="0" w:type="dxa"/>
        </w:tblCellMar>
      </w:tblPr>
      <w:tblGrid>
        <w:gridCol w:w="2478"/>
        <w:gridCol w:w="46"/>
        <w:gridCol w:w="60"/>
        <w:gridCol w:w="1663"/>
        <w:gridCol w:w="156"/>
      </w:tblGrid>
      <w:tr>
        <w:trPr/>
        <w:tc>
          <w:tcPr>
            <w:tcW w:w="2524" w:type="dxa"/>
            <w:gridSpan w:val="2"/>
            <w:tcBorders/>
            <w:vAlign w:val="center"/>
          </w:tcPr>
          <w:p>
            <w:pPr>
              <w:pStyle w:val="TableContents"/>
              <w:bidi w:val="0"/>
              <w:spacing w:before="0" w:after="283"/>
              <w:jc w:val="left"/>
              <w:rPr>
                <w:b/>
                <w:caps/>
              </w:rPr>
            </w:pPr>
            <w:r>
              <w:rPr>
                <w:b/>
                <w:caps/>
              </w:rPr>
              <w:t xml:space="preserve">TIGO ENERGY, INC.: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both"/>
              <w:rPr>
                <w:b/>
              </w:rPr>
            </w:pPr>
            <w:r>
              <w:rPr>
                <w:b/>
              </w:rPr>
              <w:t>PARTICIPANT:</w:t>
            </w:r>
          </w:p>
        </w:tc>
      </w:tr>
      <w:tr>
        <w:trPr/>
        <w:tc>
          <w:tcPr>
            <w:tcW w:w="25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both"/>
              <w:rPr/>
            </w:pPr>
            <w:r>
              <w:rPr/>
              <w:t> </w:t>
            </w:r>
          </w:p>
        </w:tc>
      </w:tr>
      <w:tr>
        <w:trPr/>
        <w:tc>
          <w:tcPr>
            <w:tcW w:w="2478" w:type="dxa"/>
            <w:tcBorders/>
            <w:vAlign w:val="center"/>
          </w:tcPr>
          <w:p>
            <w:pPr>
              <w:pStyle w:val="TableContents"/>
              <w:bidi w:val="0"/>
              <w:spacing w:before="0" w:after="283"/>
              <w:jc w:val="both"/>
              <w:rPr/>
            </w:pPr>
            <w:r>
              <w:rPr/>
              <w:t>By:</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By:</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both"/>
              <w:rPr/>
            </w:pPr>
            <w:r>
              <w:rPr/>
              <w:t xml:space="preserve">Print Name: </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xml:space="preserve">Print Name: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both"/>
              <w:rPr/>
            </w:pPr>
            <w:r>
              <w:rPr/>
              <w:t>Title:</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both"/>
              <w:rPr/>
            </w:pPr>
            <w:r>
              <w:rPr/>
              <w:t> </w:t>
            </w:r>
          </w:p>
        </w:tc>
      </w:tr>
      <w:tr>
        <w:trPr/>
        <w:tc>
          <w:tcPr>
            <w:tcW w:w="2478" w:type="dxa"/>
            <w:tcBorders/>
            <w:vAlign w:val="center"/>
          </w:tcPr>
          <w:p>
            <w:pPr>
              <w:pStyle w:val="TableContents"/>
              <w:bidi w:val="0"/>
              <w:spacing w:before="0" w:after="283"/>
              <w:jc w:val="both"/>
              <w:rPr/>
            </w:pPr>
            <w:r>
              <w:rPr/>
              <w:t xml:space="preserve">Address: </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xml:space="preserve">Address: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TO STOCK OPTION GRANT NOTICE</w:t>
        <w:br/>
        <w:br/>
      </w:r>
      <w:r>
        <w:rPr>
          <w:rFonts w:ascii="Times New Roman;Times;Serif" w:hAnsi="Times New Roman;Times;Serif"/>
          <w:b/>
          <w:i w:val="false"/>
          <w:caps w:val="false"/>
          <w:smallCaps w:val="false"/>
          <w:sz w:val="20"/>
        </w:rPr>
        <w:t>STOCK</w:t>
      </w:r>
      <w:r>
        <w:rPr>
          <w:rFonts w:ascii="Times New Roman;Times;Serif" w:hAnsi="Times New Roman;Times;Serif"/>
          <w:b/>
          <w:i w:val="false"/>
          <w:smallCaps/>
          <w:sz w:val="20"/>
        </w:rPr>
        <w:t xml:space="preserve"> OPTION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 Option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to which this Stock Option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attached, 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an Option under the Company’s 2023 Incentive Plan, as may be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to purchase the number of Shares indicated in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not specifically defined herein shall have the meanings specified in the Plan and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Option is subject to the terms and conditions of the Plan which are incorporated herein by reference. In the event of any inconsistency between the Plan and this Agreement, the terms of the Plan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GRANT OF OPTION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In consideration of the Participant’s past or continued employment with or service to the Company or any Subsidiary and for other good and valuable consideration, effective as of the Grant Date set forth in the Grant Notice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 the Company irrevocably grants to the Participant the Option to purchase any part or all of an aggregate of the number of Shares set forth in the Grant Notice, upon the terms and conditions set forth in the Plan and this Agreement, subject to adjustments as provided in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of the Shares subject to the Option shall be as set forth in the Grant Notice, without commission or other charge;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price per share of the Shares subject to the Option shall not be less than 100% of the Fair Market Value of a Share on the Grant Date. Notwithstanding the foregoing, if this Option is designated as an Incentive Stock Option and the Participant is a Greater Than 10% Stockholder as of the Grant Date, the exercise price per share of the Shares subject to the Option shall not be less than 110% of the Fair Market Value of a Share on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Consideration to the Company</w:t>
      </w:r>
      <w:r>
        <w:rPr>
          <w:rFonts w:ascii="Times New Roman;Times;Serif" w:hAnsi="Times New Roman;Times;Serif"/>
          <w:b w:val="false"/>
          <w:i w:val="false"/>
          <w:caps w:val="false"/>
          <w:smallCaps w:val="false"/>
          <w:sz w:val="20"/>
        </w:rPr>
        <w:t>. In consideration of the grant of the Option by the Company, the Participant agrees to render faithful and efficient services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PERIOD OF EXERCISABILITY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Commencement of Exercisability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Sections 3.2, 3.3, 5.11 and 5.17 hereof, the Option shall become vested and exercisable in such amounts and at such times and according to the vesting schedule set forth in the Grant Notice (rounding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contrary provision of this Agreement or the Plan, upon the Participant’s termination of employment or service with the Company or its Subsidiaries for any or no reason, any portion of the Option which has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portion of the Option. No portion of the Option which has not become vested and exercisable at the date of the Participant’s termination of employment or service with the Company or its Subsidiaries shall thereafter become vested and exercisable, except as may be otherwise provided by the Administrator or as set forth in a written agreement between the Company and the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Exercisability</w:t>
      </w:r>
      <w:r>
        <w:rPr>
          <w:rFonts w:ascii="Times New Roman;Times;Serif" w:hAnsi="Times New Roman;Times;Serif"/>
          <w:b w:val="false"/>
          <w:i w:val="false"/>
          <w:caps w:val="false"/>
          <w:smallCaps w:val="false"/>
          <w:sz w:val="20"/>
        </w:rPr>
        <w:t>. Each such installment which becomes vested and exercisable pursuant to the vesting schedule set forth in the Grant Notice shall remain vested and exercisable until it becomes unexercisable under Section 3.3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Expiration of Option</w:t>
      </w:r>
      <w:r>
        <w:rPr>
          <w:rFonts w:ascii="Times New Roman;Times;Serif" w:hAnsi="Times New Roman;Times;Serif"/>
          <w:b w:val="false"/>
          <w:i w:val="false"/>
          <w:caps w:val="false"/>
          <w:smallCaps w:val="false"/>
          <w:sz w:val="20"/>
        </w:rPr>
        <w:t>. Any portion of the Option that is vested may not be exercised after the first to occur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Expiration Date set forth in the Grant Notice, which shall in no event be more than ten (10) years from the Grant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this Option is designated as an Incentive Stock Option and the Participant, at the time the Option was granted, owned shares representing more than ten percent (10%) of the total combined voting power of all classes of shares of the Company or any related corporation (as determined in accordance with Treasury Regulation Section 1.422-2(f)), the expiration of five (5) years from the Grant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expiration of three (3) months from the date of the Participant’s termination of employment or service with the Company or its Subsidiaries, unless such termination occurs by reason of the Participant’s death or Disability;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expiration of one (1) year from the date of the Participant’s termination of employment or service with the Company or its Subsidiaries by reason of the Participant’s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Special Tax Consequences</w:t>
      </w:r>
      <w:r>
        <w:rPr>
          <w:rFonts w:ascii="Times New Roman;Times;Serif" w:hAnsi="Times New Roman;Times;Serif"/>
          <w:b w:val="false"/>
          <w:i w:val="false"/>
          <w:caps w:val="false"/>
          <w:smallCaps w:val="false"/>
          <w:sz w:val="20"/>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agrees to indemnify and keep indemnified the Company, any Subsidiary and the Participant’s employing company, if different, from and against any liability for or obligation to pay any Tax Liability (a “</w:t>
      </w:r>
      <w:r>
        <w:rPr>
          <w:rFonts w:ascii="Times New Roman;Times;Serif" w:hAnsi="Times New Roman;Times;Serif"/>
          <w:b w:val="false"/>
          <w:i/>
          <w:caps w:val="false"/>
          <w:smallCaps w:val="false"/>
          <w:sz w:val="20"/>
        </w:rPr>
        <w:t>Tax Liability</w:t>
      </w:r>
      <w:r>
        <w:rPr>
          <w:rFonts w:ascii="Times New Roman;Times;Serif" w:hAnsi="Times New Roman;Times;Serif"/>
          <w:b w:val="false"/>
          <w:i w:val="false"/>
          <w:caps w:val="false"/>
          <w:smallCaps w:val="false"/>
          <w:sz w:val="20"/>
        </w:rPr>
        <w:t>”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Option cannot be exercised until the Participant has made such arrangements as the Company may require for the satisfaction of any Tax Liability that may arise in connection with the exercise of the Option or the acquisition of the Shares by the Participant. The Company shall not be required to issue, allot or transfer Shares until the Participant has satisfied this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EXERCISE OF OPTION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Person Eligible to Exercise</w:t>
      </w:r>
      <w:r>
        <w:rPr>
          <w:rFonts w:ascii="Times New Roman;Times;Serif" w:hAnsi="Times New Roman;Times;Serif"/>
          <w:b w:val="false"/>
          <w:i w:val="false"/>
          <w:caps w:val="false"/>
          <w:smallCaps w:val="false"/>
          <w:sz w:val="20"/>
        </w:rPr>
        <w:t>. Except as provided in Section 5.3 hereof, during the lifetime of the Participant, only the Participant may exercise the Option or any portion thereof, unless if permissible under Applicable Laws, by the Participant’s legal guardian or representative. After the death of the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Partial Exercise</w:t>
      </w:r>
      <w:r>
        <w:rPr>
          <w:rFonts w:ascii="Times New Roman;Times;Serif" w:hAnsi="Times New Roman;Times;Serif"/>
          <w:b w:val="false"/>
          <w:i w:val="false"/>
          <w:caps w:val="false"/>
          <w:smallCaps w:val="false"/>
          <w:sz w:val="20"/>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 The Option, or any exercisable portion thereof, may be exercised solely by delivery to the Chief Financial Officer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written representations or documents as may be required in the Administrator’s sole discretion to evidence compliance with the Securities Act, the Exchange Act or any other applicable law, rule or regulation; and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the Option or portion thereof shall be exercised pursuant to Section 4.1 hereof by any person or persons other than the Participant, appropriate proof of the right of such person or persons to exercise the Option.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the Company shall have the right to specify all conditions of the manner of exercise, which conditions may vary by country and which may be subject to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Payment of the exercise price shall be by any of the following, or a combination thereof, at the election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or check, cash equivalent and/or Common Stock valued at the Fair Market Value at the time the Option is exercised (including, pursuant to procedures approved by the Administrator, by means of attestation of ownership of a sufficient number of shares of Common Stock in lieu of actual delivery of such shares to the Company); provided that such shares of Common Stock are not subject to any pledge or other security interest and are Mature Shares;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such other method as the Administrator may permit in accordance with Applicable Laws, in its sole discretion, including without limitation: (i) in other property having a Fair Market Value on the date of exercise equal to the Exercise Price, (ii) if there is a public market for the Common Stock at such time, by means of broker-assisted “cashless exercise” pursuant to which the Company is delivered a copy of irrevocable instructions to a stockbroker to sell the Common Stock otherwise deliverable upon the exercise of the Option and to deliver promptly to the Company an amount equal to the Exercise Price, or (C) by a “net exercise” method whereby the Company withholds from the delivery of the Common Stock for which the Option was exercised that number of Common Stock having a Fair Market Value equal to the aggregate Exercise Price for the Common Stock for which the Option was 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Conditions to Issuance of Shares</w:t>
      </w:r>
      <w:r>
        <w:rPr>
          <w:rFonts w:ascii="Times New Roman;Times;Serif" w:hAnsi="Times New Roman;Times;Serif"/>
          <w:b w:val="false"/>
          <w:i w:val="false"/>
          <w:caps w:val="false"/>
          <w:smallCaps w:val="false"/>
          <w:sz w:val="20"/>
        </w:rPr>
        <w: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No fractional shares of Common Stock shall be issued or delivered pursuant to the Plan or any Award, and the Administrator shall determine whether cash, other securities or other property shall be paid or transferred in lieu of any fractional shares of Common Stock, or whether such fractional shares of Common Stock or any rights thereto shall be canceled, terminated or otherwise eliminated. Such Shares shall be fully paid and nonassessable. The Company shall not be required to issue or deliver any Shares purchased upon the exercise of the Option or portion thereof prior to fulfillment of all of the conditions in Section 7(d) of the Plan and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unless the Company has received an opinion of counsel, satisfactory to the Company that such shares may be offered or sold without registration pursuant to an available exemption therefrom and the terms and conditions of such exemption have been fully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obtaining of any approval or other clearance from any state or federal governmental agency which the Administrator shall, in its absolute discretion, determine to be necessary or advisable;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receipt by the Company of full payment for such Shares, including payment of any applicable withholding tax, which may be in one or more of the forms of consideration permitted under Section 4.4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lapse of such reasonable period of time following the exercise of the Option as the Administrator may from time to time establish for reasons of administrative convenience.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Section 12 or 13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Whole Shares</w:t>
      </w:r>
      <w:r>
        <w:rPr>
          <w:rFonts w:ascii="Times New Roman;Times;Serif" w:hAnsi="Times New Roman;Times;Serif"/>
          <w:b w:val="false"/>
          <w:i w:val="false"/>
          <w:caps w:val="false"/>
          <w:smallCaps w:val="false"/>
          <w:sz w:val="20"/>
        </w:rPr>
        <w:t>. The Option may only be exercised for 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The Option shall be subject to the restrictions on transferability set forth in Section 14(b)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4.1 hereof, the Option may not be sold, pledged, assigned or transferred in any manner other than by will or the laws of descent and distribution or, subject to the consent of the Administrator,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lifetime of the Participant, only the Participant may exercise the Option (or any portion thereof), or if permissible under Applicable Laws, by the Participant’s legal guardian or representative;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Participant’s will or under the then-applicable laws of descent and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Participant understands that the Participant may suffer adverse tax consequences as a result of the grant, vesting or exercise of the Option, 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The Administrator may accelerate the vesting of the Option in such circumstances as it, in its sole discretion, may determine. In addition, upon the occurrence of certain events relating to the Shares contemplated by Section 12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Amendment, Suspension and Termination</w:t>
      </w:r>
      <w:r>
        <w:rPr>
          <w:rFonts w:ascii="Times New Roman;Times;Serif" w:hAnsi="Times New Roman;Times;Serif"/>
          <w:b w:val="false"/>
          <w:i w:val="false"/>
          <w:caps w:val="false"/>
          <w:smallCaps w:val="false"/>
          <w:sz w:val="20"/>
        </w:rPr>
        <w:t xml:space="preserve">. To the extent permitted by the Plan, this Agreement may be wholly or partially amended or otherwise modified, suspended or terminated at any time or from time to time by the Administrator or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may otherwise be provided by the Plan, no amendment, modification, suspension or termination of this Agreement shall materially and adversely affect the rights of the Participant with respect to the Option without the prior written consent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Notification of Disposition</w:t>
      </w:r>
      <w:r>
        <w:rPr>
          <w:rFonts w:ascii="Times New Roman;Times;Serif" w:hAnsi="Times New Roman;Times;Serif"/>
          <w:b w:val="false"/>
          <w:i w:val="false"/>
          <w:caps w:val="false"/>
          <w:smallCaps w:val="false"/>
          <w:sz w:val="20"/>
        </w:rPr>
        <w:t>. If this Option is designated as an Incentive Stock Option, the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Not a Contract of Service Relationship</w:t>
      </w:r>
      <w:r>
        <w:rPr>
          <w:rFonts w:ascii="Times New Roman;Times;Serif" w:hAnsi="Times New Roman;Times;Serif"/>
          <w:b w:val="false"/>
          <w:i w:val="false"/>
          <w:caps w:val="false"/>
          <w:smallCaps w:val="false"/>
          <w:sz w:val="20"/>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the Grant Notice and this Agreement constitute the entire agreement of the parties and supersede in their entirety all prior undertakings and agreements of the Company and the Participant with respect to the subject matter hereof, provided that the Option shall be subject to any accelerated vesting provisions in any written agreement between the Participant and the Company or a Company plan pursuant to which the Participant participates, in each case, in accordance with the terms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Limitation on the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and/or its Affiliates will hold, collect and otherwise process certain personal data regarding the Participant in connection with the administration of this Award and the Plan. All personal data will be treated in accordance with applicable data protection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center"/>
        <w:rPr/>
      </w:pPr>
      <w:r>
        <w:rPr/>
        <w:t>A-8</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18" w:name="ea183124ex4-10_tigoenergy.htm"/>
      <w:bookmarkStart w:id="19" w:name="ksea183124ex410_tigoenergy"/>
      <w:bookmarkEnd w:id="18"/>
      <w:bookmarkEnd w:id="19"/>
      <w:r>
        <w:rPr>
          <w:b/>
        </w:rPr>
        <w:t>Exhibit 4.10</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TIGO ENERGY, INC.</w:t>
        <w:br/>
        <w:t xml:space="preserve">2023 INCENTIVE PLAN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2023 Incentive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hereby grants to the holder listed below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award of restricted stock units (“</w:t>
      </w: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xml:space="preserve">”). Each vested Restricted Stock Unit represents the right to receive, in accordance with the Restricted Stock Unit Award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one share of Common Stock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and the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6"/>
        <w:gridCol w:w="8189"/>
      </w:tblGrid>
      <w:tr>
        <w:trPr/>
        <w:tc>
          <w:tcPr>
            <w:tcW w:w="2016" w:type="dxa"/>
            <w:tcBorders/>
            <w:vAlign w:val="center"/>
          </w:tcPr>
          <w:p>
            <w:pPr>
              <w:pStyle w:val="TableContents"/>
              <w:bidi w:val="0"/>
              <w:spacing w:before="0" w:after="0"/>
              <w:ind w:left="0" w:right="0" w:hanging="7"/>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c>
          <w:tcPr>
            <w:tcW w:w="8189" w:type="dxa"/>
            <w:tcBorders/>
            <w:vAlign w:val="center"/>
          </w:tcPr>
          <w:p>
            <w:pPr>
              <w:pStyle w:val="TableContents"/>
              <w:bidi w:val="0"/>
              <w:spacing w:before="0" w:after="283"/>
              <w:jc w:val="left"/>
              <w:rPr/>
            </w:pPr>
            <w:r>
              <w:rPr/>
              <w:t>[__________________________]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Grant Date:</w:t>
            </w:r>
          </w:p>
        </w:tc>
        <w:tc>
          <w:tcPr>
            <w:tcW w:w="8189" w:type="dxa"/>
            <w:tcBorders/>
            <w:vAlign w:val="center"/>
          </w:tcPr>
          <w:p>
            <w:pPr>
              <w:pStyle w:val="TableContents"/>
              <w:bidi w:val="0"/>
              <w:spacing w:before="0" w:after="283"/>
              <w:jc w:val="left"/>
              <w:rPr/>
            </w:pPr>
            <w:r>
              <w:rPr/>
              <w:t>[__________________________]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Total Number of RSUs:</w:t>
            </w:r>
          </w:p>
        </w:tc>
        <w:tc>
          <w:tcPr>
            <w:tcW w:w="8189" w:type="dxa"/>
            <w:tcBorders/>
            <w:vAlign w:val="center"/>
          </w:tcPr>
          <w:p>
            <w:pPr>
              <w:pStyle w:val="TableContents"/>
              <w:bidi w:val="0"/>
              <w:spacing w:before="0" w:after="283"/>
              <w:jc w:val="left"/>
              <w:rPr/>
            </w:pPr>
            <w:r>
              <w:rPr/>
              <w:t>[_____________]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Vesting Commencement Date:</w:t>
            </w:r>
          </w:p>
        </w:tc>
        <w:tc>
          <w:tcPr>
            <w:tcW w:w="8189" w:type="dxa"/>
            <w:tcBorders/>
            <w:vAlign w:val="center"/>
          </w:tcPr>
          <w:p>
            <w:pPr>
              <w:pStyle w:val="TableContents"/>
              <w:bidi w:val="0"/>
              <w:spacing w:before="0" w:after="283"/>
              <w:jc w:val="left"/>
              <w:rPr/>
            </w:pPr>
            <w:r>
              <w:rPr/>
              <w:t>[_____________]</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left"/>
              <w:rPr>
                <w:b/>
              </w:rPr>
            </w:pPr>
            <w:r>
              <w:rPr>
                <w:b/>
              </w:rPr>
              <w:t>Vesting Schedule:</w:t>
            </w:r>
          </w:p>
        </w:tc>
        <w:tc>
          <w:tcPr>
            <w:tcW w:w="8189" w:type="dxa"/>
            <w:tcBorders/>
            <w:vAlign w:val="center"/>
          </w:tcPr>
          <w:p>
            <w:pPr>
              <w:pStyle w:val="TableContents"/>
              <w:bidi w:val="0"/>
              <w:spacing w:before="0" w:after="283"/>
              <w:jc w:val="both"/>
              <w:rPr/>
            </w:pPr>
            <w:r>
              <w:rPr/>
              <w:t>The RSUs shall vest on the first anniversary of the Vesting Commencement Date, subject to Participant’s continued employment or service through such date.</w:t>
            </w:r>
          </w:p>
        </w:tc>
      </w:tr>
      <w:tr>
        <w:trPr/>
        <w:tc>
          <w:tcPr>
            <w:tcW w:w="2016"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both"/>
              <w:rPr/>
            </w:pPr>
            <w:r>
              <w:rPr/>
              <w:t> </w:t>
            </w:r>
          </w:p>
        </w:tc>
      </w:tr>
      <w:tr>
        <w:trPr/>
        <w:tc>
          <w:tcPr>
            <w:tcW w:w="2016" w:type="dxa"/>
            <w:tcBorders/>
            <w:vAlign w:val="center"/>
          </w:tcPr>
          <w:p>
            <w:pPr>
              <w:pStyle w:val="TableContents"/>
              <w:bidi w:val="0"/>
              <w:spacing w:before="0" w:after="283"/>
              <w:jc w:val="left"/>
              <w:rPr>
                <w:b/>
              </w:rPr>
            </w:pPr>
            <w:r>
              <w:rPr>
                <w:b/>
              </w:rPr>
              <w:t>Termination:</w:t>
            </w:r>
          </w:p>
        </w:tc>
        <w:tc>
          <w:tcPr>
            <w:tcW w:w="8189" w:type="dxa"/>
            <w:tcBorders/>
            <w:vAlign w:val="center"/>
          </w:tcPr>
          <w:p>
            <w:pPr>
              <w:pStyle w:val="TableContents"/>
              <w:bidi w:val="0"/>
              <w:spacing w:before="0" w:after="283"/>
              <w:jc w:val="both"/>
              <w:rPr/>
            </w:pPr>
            <w:r>
              <w:rPr/>
              <w:t>If the Participant experiences a termination of employment or service with the Company or its Subsidiaries, all RSUs that have not become vested on or prior to the date of such termination of employment or service will thereupon be automatically forfeited by the Participant without payment of any consideration therefor.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 of the Agreement and the Plan. </w:t>
      </w:r>
      <w:r>
        <w:rPr>
          <w:rFonts w:ascii="Times New Roman;Times;Serif" w:hAnsi="Times New Roman;Times;Serif"/>
          <w:b/>
          <w:i w:val="false"/>
          <w:caps w:val="false"/>
          <w:smallCaps w:val="false"/>
          <w:sz w:val="20"/>
        </w:rPr>
        <w:t>With respect to Participants for whom tax withholding applies, unless such Participant chooses to satisfy his or her tax withholding obligation by making a cash payment to the Company not less than five (5) business days before any withholding obligation arises, the Participant’s acceptance of this Agreement constitutes his or her instruction and authorization to the Company and any brokerage firm determined acceptable to the Company for such purpose to sell on Participant’s behalf shares of Common Stock from those Shares issuable to Participant as the Company determines to be appropriate to generate cash proceeds sufficient to satisfy Participant’s tax withholding obligation.</w:t>
      </w:r>
    </w:p>
    <w:p>
      <w:pPr>
        <w:pStyle w:val="TextBody"/>
        <w:bidi w:val="0"/>
        <w:spacing w:before="0" w:after="0"/>
        <w:ind w:left="0" w:right="0" w:firstLine="720"/>
        <w:jc w:val="both"/>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1963"/>
        <w:gridCol w:w="36"/>
        <w:gridCol w:w="60"/>
        <w:gridCol w:w="1663"/>
        <w:gridCol w:w="156"/>
      </w:tblGrid>
      <w:tr>
        <w:trPr/>
        <w:tc>
          <w:tcPr>
            <w:tcW w:w="199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 xml:space="preserve">TIGO ENERGY, INC.: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both"/>
              <w:rPr>
                <w:b/>
              </w:rPr>
            </w:pPr>
            <w:r>
              <w:rPr>
                <w:b/>
              </w:rPr>
              <w:t>PARTICIPANT:</w:t>
            </w:r>
          </w:p>
        </w:tc>
      </w:tr>
      <w:tr>
        <w:trPr/>
        <w:tc>
          <w:tcPr>
            <w:tcW w:w="19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both"/>
              <w:rPr/>
            </w:pPr>
            <w:r>
              <w:rPr/>
              <w:t> </w:t>
            </w:r>
          </w:p>
        </w:tc>
      </w:tr>
      <w:tr>
        <w:trPr/>
        <w:tc>
          <w:tcPr>
            <w:tcW w:w="1963" w:type="dxa"/>
            <w:tcBorders/>
            <w:vAlign w:val="center"/>
          </w:tcPr>
          <w:p>
            <w:pPr>
              <w:pStyle w:val="TableContents"/>
              <w:bidi w:val="0"/>
              <w:spacing w:before="0" w:after="283"/>
              <w:jc w:val="both"/>
              <w:rPr/>
            </w:pPr>
            <w:r>
              <w:rPr/>
              <w:t>By:</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By:</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3" w:type="dxa"/>
            <w:tcBorders/>
            <w:vAlign w:val="center"/>
          </w:tcPr>
          <w:p>
            <w:pPr>
              <w:pStyle w:val="TableContents"/>
              <w:bidi w:val="0"/>
              <w:spacing w:before="0" w:after="283"/>
              <w:jc w:val="both"/>
              <w:rPr/>
            </w:pPr>
            <w:r>
              <w:rPr/>
              <w:t xml:space="preserve">Print Name: </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Print Name: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63" w:type="dxa"/>
            <w:tcBorders/>
            <w:vAlign w:val="center"/>
          </w:tcPr>
          <w:p>
            <w:pPr>
              <w:pStyle w:val="TableContents"/>
              <w:bidi w:val="0"/>
              <w:spacing w:before="0" w:after="283"/>
              <w:jc w:val="both"/>
              <w:rPr/>
            </w:pPr>
            <w:r>
              <w:rPr/>
              <w:t>Title:</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r>
      <w:tr>
        <w:trPr/>
        <w:tc>
          <w:tcPr>
            <w:tcW w:w="1963" w:type="dxa"/>
            <w:tcBorders/>
            <w:vAlign w:val="center"/>
          </w:tcPr>
          <w:p>
            <w:pPr>
              <w:pStyle w:val="TableContents"/>
              <w:bidi w:val="0"/>
              <w:spacing w:before="0" w:after="283"/>
              <w:jc w:val="both"/>
              <w:rPr/>
            </w:pPr>
            <w:r>
              <w:rPr/>
              <w:t xml:space="preserve">Address: </w:t>
            </w:r>
          </w:p>
        </w:tc>
        <w:tc>
          <w:tcPr>
            <w:tcW w:w="3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3" w:type="dxa"/>
            <w:tcBorders/>
            <w:vAlign w:val="center"/>
          </w:tcPr>
          <w:p>
            <w:pPr>
              <w:pStyle w:val="TableContents"/>
              <w:bidi w:val="0"/>
              <w:spacing w:before="0" w:after="283"/>
              <w:jc w:val="both"/>
              <w:rPr/>
            </w:pPr>
            <w:r>
              <w:rPr/>
              <w:t xml:space="preserve">Address: </w:t>
            </w:r>
          </w:p>
        </w:tc>
        <w:tc>
          <w:tcPr>
            <w:tcW w:w="15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TO RESTRICTED STOCK UNIT AWARD GRANT NOTICE</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RESTRICTED STOCK UNIT AWARD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Restricted Stock Unit Award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to which this Restricted Stock Unit Award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attached, 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the number of restricted stock units (“</w:t>
      </w:r>
      <w:r>
        <w:rPr>
          <w:rFonts w:ascii="Times New Roman;Times;Serif" w:hAnsi="Times New Roman;Times;Serif"/>
          <w:b/>
          <w:i/>
          <w:caps w:val="false"/>
          <w:smallCaps w:val="false"/>
          <w:sz w:val="20"/>
        </w:rPr>
        <w:t>Restricted Stock Units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RSUs</w:t>
      </w:r>
      <w:r>
        <w:rPr>
          <w:rFonts w:ascii="Times New Roman;Times;Serif" w:hAnsi="Times New Roman;Times;Serif"/>
          <w:b w:val="false"/>
          <w:i w:val="false"/>
          <w:caps w:val="false"/>
          <w:smallCaps w:val="false"/>
          <w:sz w:val="20"/>
        </w:rPr>
        <w:t>”) set forth in the Grant Notice under the Company’s 2023 Incentive Plan,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Each Restricted Stock Unit represents the right to receive one share of Common Stock (a “</w:t>
      </w:r>
      <w:r>
        <w:rPr>
          <w:rFonts w:ascii="Times New Roman;Times;Serif" w:hAnsi="Times New Roman;Times;Serif"/>
          <w:b/>
          <w:i/>
          <w:caps w:val="false"/>
          <w:smallCaps w:val="false"/>
          <w:sz w:val="20"/>
        </w:rPr>
        <w:t>Share</w:t>
      </w:r>
      <w:r>
        <w:rPr>
          <w:rFonts w:ascii="Times New Roman;Times;Serif" w:hAnsi="Times New Roman;Times;Serif"/>
          <w:b w:val="false"/>
          <w:i w:val="false"/>
          <w:caps w:val="false"/>
          <w:smallCaps w:val="false"/>
          <w:sz w:val="20"/>
        </w:rPr>
        <w:t>”) upon vesting.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not specifically defined herein shall have the meanings specified in the Plan and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RSUs are subject to the terms and conditions of the Plan, which are incorporated herein by reference. In the event of any inconsistency between the Plan and this Agreement, the terms of the Plan shall control.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GRANT OF RESTRICTED STOCK UNITS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Grant of RSUs</w:t>
      </w:r>
      <w:r>
        <w:rPr>
          <w:rFonts w:ascii="Times New Roman;Times;Serif" w:hAnsi="Times New Roman;Times;Serif"/>
          <w:b w:val="false"/>
          <w:i w:val="false"/>
          <w:caps w:val="false"/>
          <w:smallCaps w:val="false"/>
          <w:sz w:val="20"/>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or continued employment with or service to the Company or any Subsidiaries and for other good and valuable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Unsecured Obligation to RSUs</w:t>
      </w:r>
      <w:r>
        <w:rPr>
          <w:rFonts w:ascii="Times New Roman;Times;Serif" w:hAnsi="Times New Roman;Times;Serif"/>
          <w:b w:val="false"/>
          <w:i w:val="false"/>
          <w:caps w:val="false"/>
          <w:smallCaps w:val="false"/>
          <w:sz w:val="20"/>
        </w:rPr>
        <w:t>. Unless and until the RSUs have vested in the manner set forth in Article 2 hereof, the Participant will have no right to receive Shares under any such RSUs. Prior to actual payment of any vested RSUs, such RSUs will represent an unsecured obligation of the Company, payable (if at all) only from the general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Subject to Section 2.5 hereof, the RSUs shall vest and become nonforfeitable with respect to the applicable portion thereof according to the vesting schedule set forth in the Grant Notice (rounding down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Consideration to the Company</w:t>
      </w:r>
      <w:r>
        <w:rPr>
          <w:rFonts w:ascii="Times New Roman;Times;Serif" w:hAnsi="Times New Roman;Times;Serif"/>
          <w:b w:val="false"/>
          <w:i w:val="false"/>
          <w:caps w:val="false"/>
          <w:smallCaps w:val="false"/>
          <w:sz w:val="20"/>
        </w:rPr>
        <w:t>. In consideration of the grant of the award of RSUs pursuant hereto, the Participant agrees to render faithful and efficient services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Forfeiture, Termination and Cancellation upon Termination of Service</w:t>
      </w:r>
      <w:r>
        <w:rPr>
          <w:rFonts w:ascii="Times New Roman;Times;Serif" w:hAnsi="Times New Roman;Times;Serif"/>
          <w:b w:val="false"/>
          <w:i w:val="false"/>
          <w:caps w:val="false"/>
          <w:smallCaps w:val="false"/>
          <w:sz w:val="20"/>
        </w:rPr>
        <w:t>. Notwithstanding any contrary provision of this Agreement or the Plan, upon the Participant’s termination of employment or service with the Company or its Subsidiaries for any or no reason, all Restricted Stock Units which have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RSUs. No portion of the RSUs which has not become vested as of the date on which the Participant incurs a termination of employment or service with the Company or its Subsidiaries shall thereafter become vested, except as may otherwise be provided by the Administrator or as set forth in a written agreement between the Company and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Issuance of Shares upon Vesting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9(d) of the Plan, the Shares shall be issued pursuant to the preceding sentence as soon as administratively practicable after the Administrator determines that Shares can again be issued in accordance with such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set forth in Section 14(c)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Additionally, the Company may, in its sole discretion, satisfy any withholding obligations relating to Participant’s RSUs by any of the following means or by a combination of such means: (i) withholding shares of Common Stock otherwise issuable to the Participant upon vesting of the RSUs, (ii) instructing a broker on the Participant’s behalf to sell shares of Common Stock otherwise issuable to the Participant upon vesting of the RSUs sufficient to generate net proceeds sufficient to satisfy the Company’s minimum statutory withholding obligations with respect to the income recognized by the Participant upon the vesting of the RSUs (based on minimum statutory withholding rates for all tax purposes, including payroll and social security taxes, that are applicable to such income) and the net proceeds of such sale shall be submitted to the Company, (iii) requiring Participant to make a payment in cash to the Company, or (iv) using any other method approved by the Company, and to the extent required by applicable laws or the Plan, approved by the Administrator. Until determined otherwise by the Company, clause (ii) will be the method by which such withholding obligations are satisfied, unless the Participant choses to satisfy his or her withholding obligation in accordance with clause (iii) at any time not less than five (5) business days before any withholding obligation arises.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prejudice to the provisions of Section 14(c) of the Plan, Participant acknowledges that, regardless of any action taken by the Company or, if different, the Employer, the ultimate liability for all income tax, social security and other tax-related items related to Participant’s participation in the Plan and the RSUs and legally applicable to Participant or deemed by the Company, the Board or the Employer in its discretion to be an appropriate charge to Participant even if legally applicable to the Company, Board or the Employer (to the extent lawful) (collectively,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is and remains Participant’s responsibility and may exceed the amount (if any) withheld by the Company, the Board or the Employer, and Participant hereby covenants to pay any such Tax-Related Items, as and when requested by the Employer, the Company, the Board, any Affiliate or any tax authority. Participant further acknowledges that (i) neither the Company, the Board nor the Employer make any representation or undertaking regarding the treatment of any Tax-Related Items in connection with any aspect of the RSUs including, without limitation, the grant or vesting of the RSUs or the subsequent sale/disposal of the RSUs; and (ii) the Company, the Board and the Employer do not commit to and are under no obligation to structure the RSUs to reduce or eliminate Participant’s liability for Tax-Related Items or achieve any particular tax result. Further, if Participant is subject to Tax-Related Items in more than one jurisdiction between the date on which the RSUs are granted and the date of any relevant taxable or tax withholding event, as applicable, Participant acknowledges that the Company, the Board or the Employer (or former employer, as applicable) may be required to withhold or account for Tax-Related Items in more than one jurisdiction.</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Conditions to Delivery of Shares</w:t>
      </w:r>
      <w:r>
        <w:rPr>
          <w:rFonts w:ascii="Times New Roman;Times;Serif" w:hAnsi="Times New Roman;Times;Serif"/>
          <w:b w:val="false"/>
          <w:i w:val="false"/>
          <w:caps w:val="false"/>
          <w:smallCaps w:val="false"/>
          <w:sz w:val="20"/>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9(d)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12 or 13 of the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The RSUs shall be subject to the restrictions on transferability set forth in Section 14(b)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the RSUs contained herein,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Participant’s Representations</w:t>
      </w:r>
      <w:r>
        <w:rPr>
          <w:rFonts w:ascii="Times New Roman;Times;Serif" w:hAnsi="Times New Roman;Times;Serif"/>
          <w:b w:val="false"/>
          <w:i w:val="false"/>
          <w:caps w:val="false"/>
          <w:smallCaps w:val="false"/>
          <w:sz w:val="20"/>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Amendment, Suspension and Termination</w:t>
      </w:r>
      <w:r>
        <w:rPr>
          <w:rFonts w:ascii="Times New Roman;Times;Serif" w:hAnsi="Times New Roman;Times;Serif"/>
          <w:b w:val="false"/>
          <w:i w:val="false"/>
          <w:caps w:val="false"/>
          <w:smallCaps w:val="false"/>
          <w:sz w:val="20"/>
        </w:rPr>
        <w:t xml:space="preserve">. To the extent permitted by the Plan, this Agreement may be wholly or partially amended or otherwise modified, suspended or terminated at any time or from time to time by the Administrator or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may otherwise be provided by the Plan, no amendment, modification, suspension or termination of this Agreement shall adversely affect the RSUs in any material way without the prior written consent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Employment or Service</w:t>
      </w:r>
      <w:r>
        <w:rPr>
          <w:rFonts w:ascii="Times New Roman;Times;Serif" w:hAnsi="Times New Roman;Times;Serif"/>
          <w:b w:val="false"/>
          <w:i w:val="false"/>
          <w:caps w:val="false"/>
          <w:smallCaps w:val="false"/>
          <w:sz w:val="20"/>
        </w:rPr>
        <w:t>.</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does not confer upon the Participant any right to be retained in the employ or service of the Company or any Affiliate shall not interfere with the ability of the Participant’s employer from time to time (the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to terminate the Participant’s service at any time, with or without cause, subject to Applicable Law.</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18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18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is established voluntarily by the Company. It is discretionary in nature and it may be modified, amended, suspended or terminated by the Company at any time, unless otherwise provided in the Plan and this Agreement. The grant of the RSUs is voluntary and occasional and does not create any contractual or other right to receive future grants of Awards, or benefits in lieu of Awards, even if Awards have been granted repeatedly in the past. All decisions with respect to future grants of Awards, if any, will be at the sole discretion of the Company. The RSUs are extraordinary items that do not constitute compensation of any kind for service of any kind rendered to the Company or Affiliate, and which are outside the scope of Participant’s employment or service contract, if any and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Limitation on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and/or its Affiliates will hold, collect and otherwise process certain personal data regarding the Participant in connection with the administration of this Award and the Plan. All personal data will be treated in accordance with applicable data protection laws and regulations.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0" w:name="ea183124ex4-11_tigoenergy.htm"/>
      <w:bookmarkStart w:id="21" w:name="ksea183124ex411_tigoenergy"/>
      <w:bookmarkEnd w:id="20"/>
      <w:bookmarkEnd w:id="21"/>
      <w:r>
        <w:rPr>
          <w:b/>
        </w:rPr>
        <w:t>Exhibit 4.11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 APPRECIATION RIGHT award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CHINA Grantees</w:t>
        <w:br/>
        <w:t>UNDER THE Tigo energy, INc.</w:t>
        <w:br/>
        <w:t>2023 STOCK INCENTIVE PLAN</w:t>
      </w:r>
    </w:p>
    <w:p>
      <w:pPr>
        <w:pStyle w:val="TextBody"/>
        <w:bidi w:val="0"/>
        <w:spacing w:before="0" w:after="0"/>
        <w:ind w:left="0" w:right="0" w:hanging="0"/>
        <w:jc w:val="center"/>
        <w:rPr>
          <w:caps/>
        </w:rPr>
      </w:pPr>
      <w:r>
        <w:rPr>
          <w:caps/>
        </w:rPr>
        <w:t> </w:t>
      </w:r>
    </w:p>
    <w:tbl>
      <w:tblPr>
        <w:tblW w:w="2305" w:type="dxa"/>
        <w:jc w:val="left"/>
        <w:tblInd w:w="0" w:type="dxa"/>
        <w:tblLayout w:type="fixed"/>
        <w:tblCellMar>
          <w:top w:w="0" w:type="dxa"/>
          <w:left w:w="0" w:type="dxa"/>
          <w:bottom w:w="0" w:type="dxa"/>
          <w:right w:w="0" w:type="dxa"/>
        </w:tblCellMar>
      </w:tblPr>
      <w:tblGrid>
        <w:gridCol w:w="2030"/>
        <w:gridCol w:w="275"/>
      </w:tblGrid>
      <w:tr>
        <w:trPr/>
        <w:tc>
          <w:tcPr>
            <w:tcW w:w="203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Grantee:</w:t>
            </w:r>
          </w:p>
        </w:tc>
        <w:tc>
          <w:tcPr>
            <w:tcW w:w="2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of SARs:</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 per Share:</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 Date:</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Date:</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203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7"/>
        <w:gridCol w:w="8038"/>
      </w:tblGrid>
      <w:tr>
        <w:trPr/>
        <w:tc>
          <w:tcPr>
            <w:tcW w:w="21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Post-Termination Exercise Period</w:t>
            </w:r>
          </w:p>
        </w:tc>
        <w:tc>
          <w:tcPr>
            <w:tcW w:w="80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provided in Section 2, Vested SARs may be exercised for up to 90 days after termination of the Grantee’s continuous service with the Company or its Affiliates.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Tigo Energy, Inc. 2023 Stock Incentive Plan as amended through the date hereof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Tigo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hereby grants to the Grantee named above the number of SARs (as defined in the Plan) specified above. This Stock Appreciation Right Award Agreement for China Grantees (the “</w:t>
      </w:r>
      <w:r>
        <w:rPr>
          <w:rFonts w:ascii="Times New Roman;Times;Serif" w:hAnsi="Times New Roman;Times;Serif"/>
          <w:b w:val="false"/>
          <w:i w:val="false"/>
          <w:caps w:val="false"/>
          <w:smallCaps w:val="false"/>
          <w:sz w:val="20"/>
          <w:u w:val="single"/>
        </w:rPr>
        <w:t>SAR Agreement</w:t>
      </w:r>
      <w:r>
        <w:rPr>
          <w:rFonts w:ascii="Times New Roman;Times;Serif" w:hAnsi="Times New Roman;Times;Serif"/>
          <w:b w:val="false"/>
          <w:i w:val="false"/>
          <w:caps w:val="false"/>
          <w:smallCaps w:val="false"/>
          <w:sz w:val="20"/>
        </w:rPr>
        <w:t>”), including any special terms and conditions for the Grantee’s country as set forth in the appendix attached hereto (the “</w:t>
      </w:r>
      <w:r>
        <w:rPr>
          <w:rFonts w:ascii="Times New Roman;Times;Serif" w:hAnsi="Times New Roman;Times;Serif"/>
          <w:b w:val="false"/>
          <w:i w:val="false"/>
          <w:caps w:val="false"/>
          <w:smallCaps w:val="false"/>
          <w:sz w:val="20"/>
          <w:u w:val="single"/>
        </w:rPr>
        <w:t>Appendix</w:t>
      </w:r>
      <w:r>
        <w:rPr>
          <w:rFonts w:ascii="Times New Roman;Times;Serif" w:hAnsi="Times New Roman;Times;Serif"/>
          <w:b w:val="false"/>
          <w:i w:val="false"/>
          <w:caps w:val="false"/>
          <w:smallCaps w:val="false"/>
          <w:sz w:val="20"/>
        </w:rPr>
        <w:t>,” and together with the SAR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give the Grantee the right to exercise on or prior to the Expiration Date specified above all or part of the number of SARs specified above at the Exercise Price per Share specified above, and to receive a cash payment in accordance with Section 5 of this SAR Agreement, subject to the terms and conditions set forth in the Agreement and in the Plan. Each of the SARs granted herein relates to the value of one share of Common Stock (as defined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not defined herein but defined in the Plan have the same definitions as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these SARs may be exercised until such portion shall have become exercisable. Except as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set forth below, and subject to the discretion of the Administrator to accelerate the exercisability schedule hereunder, these SARs shall be exercisable on the dates indicated below.</w:t>
      </w:r>
    </w:p>
    <w:tbl>
      <w:tblPr>
        <w:tblW w:w="3970" w:type="dxa"/>
        <w:jc w:val="left"/>
        <w:tblInd w:w="0" w:type="dxa"/>
        <w:tblLayout w:type="fixed"/>
        <w:tblCellMar>
          <w:top w:w="0" w:type="dxa"/>
          <w:left w:w="0" w:type="dxa"/>
          <w:bottom w:w="0" w:type="dxa"/>
          <w:right w:w="0" w:type="dxa"/>
        </w:tblCellMar>
      </w:tblPr>
      <w:tblGrid>
        <w:gridCol w:w="2375"/>
        <w:gridCol w:w="1595"/>
      </w:tblGrid>
      <w:tr>
        <w:trPr/>
        <w:tc>
          <w:tcPr>
            <w:tcW w:w="2375" w:type="dxa"/>
            <w:tcBorders/>
            <w:vAlign w:val="center"/>
          </w:tcPr>
          <w:p>
            <w:pPr>
              <w:pStyle w:val="TableContents"/>
              <w:bidi w:val="0"/>
              <w:spacing w:before="0" w:after="283"/>
              <w:jc w:val="both"/>
              <w:rPr/>
            </w:pPr>
            <w:r>
              <w:rPr/>
              <w:t> </w:t>
            </w:r>
          </w:p>
        </w:tc>
        <w:tc>
          <w:tcPr>
            <w:tcW w:w="159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Number of SARs Exercisable</w:t>
            </w:r>
          </w:p>
        </w:tc>
        <w:tc>
          <w:tcPr>
            <w:tcW w:w="159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Exercisability Date</w:t>
            </w:r>
          </w:p>
        </w:tc>
      </w:tr>
      <w:tr>
        <w:trPr/>
        <w:tc>
          <w:tcPr>
            <w:tcW w:w="2375" w:type="dxa"/>
            <w:tcBorders/>
            <w:vAlign w:val="center"/>
          </w:tcPr>
          <w:p>
            <w:pPr>
              <w:pStyle w:val="TableContents"/>
              <w:bidi w:val="0"/>
              <w:spacing w:before="0" w:after="283"/>
              <w:jc w:val="both"/>
              <w:rPr/>
            </w:pPr>
            <w:r>
              <w:rPr/>
              <w:t> </w:t>
            </w:r>
          </w:p>
        </w:tc>
        <w:tc>
          <w:tcPr>
            <w:tcW w:w="1595" w:type="dxa"/>
            <w:tcBorders/>
            <w:vAlign w:val="center"/>
          </w:tcPr>
          <w:p>
            <w:pPr>
              <w:pStyle w:val="TableContents"/>
              <w:bidi w:val="0"/>
              <w:spacing w:before="0" w:after="283"/>
              <w:jc w:val="both"/>
              <w:rPr/>
            </w:pPr>
            <w:r>
              <w:rPr/>
              <w:t> </w:t>
            </w:r>
          </w:p>
        </w:tc>
      </w:tr>
      <w:tr>
        <w:trPr/>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these SARs shall continue to be exercisable at any time or times prior to the close of business (being 5 p.m. U.S. ET) on the Expiration Date, subject to the provisions hereof and of the Plan. The number of SARs that become exercisable on any exercisability date shall be rounded down to nearest whole number. Each installment shall take into effect prior rounding so that each annual installment including the last installment is approximately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pPr>
            <w:r>
              <w:rPr/>
              <w:t>Note to Draft: For vested options being replaced with RSUs, the “Exercisability Date” would not include any vesting and we would include a date that is after the effectiveness of the S-8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Forfeiture of Stock Appreciation Rights</w:t>
      </w:r>
      <w:r>
        <w:rPr>
          <w:rFonts w:ascii="Times New Roman;Times;Serif" w:hAnsi="Times New Roman;Times;Serif"/>
          <w:b w:val="false"/>
          <w:i w:val="false"/>
          <w:caps w:val="false"/>
          <w:smallCaps w:val="false"/>
          <w:sz w:val="20"/>
        </w:rPr>
        <w:t>. In the event the Grantee’s continuous service with the Company or its Affiliates terminates for any reason, the Grantee’s right to vest in the SARs will cease as of the date of such terminaton, and any SARs that were not already exercisable on the date of such termination shall be forfeited on that date. Furthermore, the Grantee’s Post-Termination Exercise Period will be measured by reference to the date of such termination in accordance with this Agreement and the Plan, provided, however, that in case the Grantee’s continuous service with the Company or its Affiliates terminates for Cause, the Grantee’s right to exercise the SARs shall terminate immediately upon the date of the Grantee’s termination of continuous service with the Company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Certain Tax Matters</w:t>
      </w:r>
      <w:r>
        <w:rPr>
          <w:rFonts w:ascii="Times New Roman;Times;Serif" w:hAnsi="Times New Roman;Times;Serif"/>
          <w:b w:val="false"/>
          <w:i w:val="false"/>
          <w:caps w:val="false"/>
          <w:smallCaps w:val="false"/>
          <w:sz w:val="20"/>
        </w:rPr>
        <w:t>. Regardless of any action taken by the Company or, if different, the Affiliate employing the Grantee or to which the Grantee is otherwise providing services (the “</w:t>
      </w:r>
      <w:r>
        <w:rPr>
          <w:rFonts w:ascii="Times New Roman;Times;Serif" w:hAnsi="Times New Roman;Times;Serif"/>
          <w:b w:val="false"/>
          <w:i w:val="false"/>
          <w:caps w:val="false"/>
          <w:smallCaps w:val="false"/>
          <w:sz w:val="20"/>
          <w:u w:val="single"/>
        </w:rPr>
        <w:t>Service Recipient</w:t>
      </w:r>
      <w:r>
        <w:rPr>
          <w:rFonts w:ascii="Times New Roman;Times;Serif" w:hAnsi="Times New Roman;Times;Serif"/>
          <w:b w:val="false"/>
          <w:i w:val="false"/>
          <w:caps w:val="false"/>
          <w:smallCaps w:val="false"/>
          <w:sz w:val="20"/>
        </w:rPr>
        <w:t>”), the ultimate liability for all income tax, social insurance, payroll tax, fringe benefits tax, payment on account or other tax-related items related to the Grantee’s participation in the Plan and legally applicable to the Grantee or deemed by the Company or the Service Recipient, in their discretion, to be an appropriate charge to the Grantee even if legally applicable to the Company or the Service Recipient (“</w:t>
      </w:r>
      <w:r>
        <w:rPr>
          <w:rFonts w:ascii="Times New Roman;Times;Serif" w:hAnsi="Times New Roman;Times;Serif"/>
          <w:b w:val="false"/>
          <w:i w:val="false"/>
          <w:caps w:val="false"/>
          <w:smallCaps w:val="false"/>
          <w:sz w:val="20"/>
          <w:u w:val="single"/>
        </w:rPr>
        <w:t>Tax-Related Items</w:t>
      </w:r>
      <w:r>
        <w:rPr>
          <w:rFonts w:ascii="Times New Roman;Times;Serif" w:hAnsi="Times New Roman;Times;Serif"/>
          <w:b w:val="false"/>
          <w:i w:val="false"/>
          <w:caps w:val="false"/>
          <w:smallCaps w:val="false"/>
          <w:sz w:val="20"/>
        </w:rPr>
        <w:t>”) is and remains the Grantee’s responsibility and may exceed the amount actually withheld, if any, by the Company or the Service Recipient. The Grantee further acknowledges that the Company and/or the Service Recipient (i) make no representations or undertakings regarding the treatment of any Tax-Related Items in connection with any aspect of the SARs, including, but not limited to, the grant, vesting or exercise of the SARs and the receipt of any cash payment in settlement of the SARs; and (ii) donot commit to and are under no obligation to structure the terms of the grant or any aspect of the SARs to reduce or eliminate the Grantee’s liability for Tax-Related Items or achieve any particular tax result. Further, if the Grantee is subject to Tax-Related Items in more than one jurisdiction, the Company and/or the Service Recipient (or former service recipient, as applicable) may be required to withhold or account for Tax-Related Items in more than one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agrees to make adequate arrangements satisfactory to the Company and/or the Service Recipient, as applicable, prior to any relevant tax withholding event, to satisfy all Tax-Related Items. In this regard, the Grantee authorizes the Company and/or the Service Recipient, or their respective agents, at their discretion, to satisfy any applicable withholding obligations with regard to all Tax-Related Items by one or a combination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both"/>
              <w:rPr/>
            </w:pPr>
            <w:r>
              <w:rPr/>
              <w:t>withholding from the Grantee’s wages or other cash compensation paid to the Grantee by the Company and/or the Service Recipient;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3"/>
        <w:gridCol w:w="9795"/>
      </w:tblGrid>
      <w:tr>
        <w:trPr/>
        <w:tc>
          <w:tcPr>
            <w:tcW w:w="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(b)</w:t>
            </w:r>
          </w:p>
        </w:tc>
        <w:tc>
          <w:tcPr>
            <w:tcW w:w="9795" w:type="dxa"/>
            <w:tcBorders/>
            <w:vAlign w:val="center"/>
          </w:tcPr>
          <w:p>
            <w:pPr>
              <w:pStyle w:val="TableContents"/>
              <w:bidi w:val="0"/>
              <w:spacing w:before="0" w:after="283"/>
              <w:jc w:val="both"/>
              <w:rPr/>
            </w:pPr>
            <w:r>
              <w:rPr/>
              <w:t>withholding from the cash payment due to the Grantee upon exercise of the SARs.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Service Recipient may withhold or account for Tax-Related Items by considering applicable minimum statutory withholding rates or other applicable withholding rates, including maximum applicable rates in the Grantee’s jurisdiction(s), in which case the Grantee may receive a refund of any over-withheld amount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Grantee agrees to pay to the Company or the Service Recipient any amount of Tax-Related Items that the Company or the Service Recipient may be required to withhold as a result of the Grantee’s participation in the Plan that cannot be satisfied by the means previously described. The Company may refuse to deliver the cash payment at exercise if the Grantee fails to comply with his or her obligations in connection with the Tax-Related Items as described in this Section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Prior to Exercisability</w:t>
      </w:r>
      <w:r>
        <w:rPr>
          <w:rFonts w:ascii="Times New Roman;Times;Serif" w:hAnsi="Times New Roman;Times;Serif"/>
          <w:b w:val="false"/>
          <w:i w:val="false"/>
          <w:caps w:val="false"/>
          <w:smallCaps w:val="false"/>
          <w:sz w:val="20"/>
        </w:rPr>
        <w:t>. The SARs represent a right to payment in cash from the Company upon exercise if the conditions of this Agreement are met and do not give the Grantee ownership of any Common Stock. The Grantee shall not have any rights of a stockholder with respect to the shares of Common Stock underlying the SARs (including, without limitation, any voting rights or any right to dividends paid with respect to the shares of Common Stock underlying the SARs). No assets have been set aside by the Company or otherwise to pay the amounts promised by this Agreement, the right to payment is unsecured, and the Grantee is a general creditor of the Company for payment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Payment of Cash Proceeds. Notwithstanding any terms and conditions of the SAR Agreement or the Plan, any cash payment made upon exercise of the SARs will be delivered to the Grantee by the Service Recipient in local currency (using the prevailing exchange rate at the time of vesting) through local payroll in the People’s Republic of China (“PRC”), subject to any withholding obligation related to Tax-Related Items. In no event will payments be made to the Grantee into an account outside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Nature of Grant</w:t>
      </w:r>
      <w:r>
        <w:rPr>
          <w:rFonts w:ascii="Times New Roman;Times;Serif" w:hAnsi="Times New Roman;Times;Serif"/>
          <w:b w:val="false"/>
          <w:i w:val="false"/>
          <w:caps w:val="false"/>
          <w:smallCaps w:val="false"/>
          <w:sz w:val="20"/>
        </w:rPr>
        <w:t>: In accepting the SARs, the Grantee understands, acknowledges and agrees that: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[the SAR Agreements is granted in exchange for the Grantee’s forfeiture of any options or other equity or equity-based awards previously granted to the Grantee by the Company, and that the Grantee shall have no further rights under any such arrangements;]</w:t>
            </w:r>
            <w:r>
              <w:rPr>
                <w:position w:val="8"/>
                <w:sz w:val="19"/>
              </w:rPr>
              <w:t>2</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Plan is established voluntarily by the Company, it is discretionary in nature and it may be modified, amended, suspended or terminated by the Company at any time, to the extent permitted in the Plan;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the grant of the SARs is exceptional, voluntary and occasional and does not create any contractual or other right to receive future grants of SARs, benefits in lieu of SARs or other Awards, even if SARs have been awarded in the past;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283"/>
              <w:jc w:val="both"/>
              <w:rPr/>
            </w:pPr>
            <w:r>
              <w:rPr/>
              <w:t>all decisions with respect to future awards of SARs or other Awards, if any, will be at the sole discretion of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27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4775" w:type="dxa"/>
            <w:tcBorders/>
            <w:vAlign w:val="center"/>
          </w:tcPr>
          <w:p>
            <w:pPr>
              <w:pStyle w:val="TableContents"/>
              <w:bidi w:val="0"/>
              <w:spacing w:before="0" w:after="283"/>
              <w:jc w:val="both"/>
              <w:rPr/>
            </w:pPr>
            <w:r>
              <w:rPr/>
              <w:t>the Grantee is voluntarily participating in the Plan;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(f)</w:t>
            </w:r>
          </w:p>
        </w:tc>
        <w:tc>
          <w:tcPr>
            <w:tcW w:w="9937" w:type="dxa"/>
            <w:tcBorders/>
            <w:vAlign w:val="center"/>
          </w:tcPr>
          <w:p>
            <w:pPr>
              <w:pStyle w:val="TableContents"/>
              <w:bidi w:val="0"/>
              <w:spacing w:before="0" w:after="283"/>
              <w:jc w:val="both"/>
              <w:rPr/>
            </w:pPr>
            <w:r>
              <w:rPr/>
              <w:t>the grant of the SARs, and the income from and value of same, are not intended to replace any pension rights or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(g)</w:t>
            </w:r>
          </w:p>
        </w:tc>
        <w:tc>
          <w:tcPr>
            <w:tcW w:w="9919" w:type="dxa"/>
            <w:tcBorders/>
            <w:vAlign w:val="center"/>
          </w:tcPr>
          <w:p>
            <w:pPr>
              <w:pStyle w:val="TableContents"/>
              <w:bidi w:val="0"/>
              <w:spacing w:before="0" w:after="283"/>
              <w:jc w:val="both"/>
              <w:rPr/>
            </w:pPr>
            <w:r>
              <w:rPr/>
              <w:t>unless otherwise agreed with the Company, the SARs, and the income from and value of same, are not granted as consideration for, or in connection with, the service the Grantee may provide as a director of an Affiliate;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SARs, and the income from and value of same, are not part of normal or expected compensation or salary for any purpose, including for purposes of calculating any severance, resignation, termination, redundancy, dismissal, end of service payments, bonuses, holiday pay, long-service awards, pension or retirement or welfare benefits or similar mandatory payments;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no claim or entitlement to compensation or damages shall arise from forfeiture of the SARs resulting from the termination of the Grantee’s continuous service with the Company or its Affiliates (for any reason whatsoever, whether or not later found to be invalid or in breach of employment laws in the jurisdiction where the Grantee is employed or otherwise providing services or the terms of the Grantee’s employment or service agreement, if 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(j)</w:t>
            </w:r>
          </w:p>
        </w:tc>
        <w:tc>
          <w:tcPr>
            <w:tcW w:w="9949" w:type="dxa"/>
            <w:tcBorders/>
            <w:vAlign w:val="center"/>
          </w:tcPr>
          <w:p>
            <w:pPr>
              <w:pStyle w:val="TableContents"/>
              <w:bidi w:val="0"/>
              <w:spacing w:before="0" w:after="283"/>
              <w:jc w:val="both"/>
              <w:rPr/>
            </w:pPr>
            <w:r>
              <w:rPr/>
              <w:t>the future value of the shares of Common Stock underlying the SARs is unknown and cannot be predicted with certainty;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ind w:left="720" w:right="0" w:hanging="360"/>
        <w:jc w:val="left"/>
        <w:rPr>
          <w:bdr w:val="single" w:sz="12" w:space="1" w:color="000000"/>
        </w:rPr>
      </w:pPr>
      <w:r>
        <w:rPr>
          <w:bdr w:val="single" w:sz="12" w:space="1" w:color="000000"/>
        </w:rPr>
        <w:t> </w:t>
      </w:r>
    </w:p>
    <w:tbl>
      <w:tblPr>
        <w:tblW w:w="8830" w:type="dxa"/>
        <w:jc w:val="left"/>
        <w:tblInd w:w="0" w:type="dxa"/>
        <w:tblLayout w:type="fixed"/>
        <w:tblCellMar>
          <w:top w:w="0" w:type="dxa"/>
          <w:left w:w="0" w:type="dxa"/>
          <w:bottom w:w="0" w:type="dxa"/>
          <w:right w:w="0" w:type="dxa"/>
        </w:tblCellMar>
      </w:tblPr>
      <w:tblGrid>
        <w:gridCol w:w="125"/>
        <w:gridCol w:w="870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8705" w:type="dxa"/>
            <w:tcBorders/>
            <w:vAlign w:val="center"/>
          </w:tcPr>
          <w:p>
            <w:pPr>
              <w:pStyle w:val="TableContents"/>
              <w:bidi w:val="0"/>
              <w:spacing w:before="0" w:after="283"/>
              <w:jc w:val="both"/>
              <w:rPr/>
            </w:pPr>
            <w:r>
              <w:rPr/>
              <w:t>Note to Draft: Include for those individuals in China who previously received option grants.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36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29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9635" w:type="dxa"/>
            <w:tcBorders/>
            <w:vAlign w:val="center"/>
          </w:tcPr>
          <w:p>
            <w:pPr>
              <w:pStyle w:val="TableContents"/>
              <w:bidi w:val="0"/>
              <w:spacing w:before="0" w:after="283"/>
              <w:jc w:val="both"/>
              <w:rPr/>
            </w:pPr>
            <w:r>
              <w:rPr/>
              <w:t>if the underlying shares of Common Stock do not increase in value, the SARs will have no value;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(l)</w:t>
            </w:r>
          </w:p>
        </w:tc>
        <w:tc>
          <w:tcPr>
            <w:tcW w:w="9988" w:type="dxa"/>
            <w:tcBorders/>
            <w:vAlign w:val="center"/>
          </w:tcPr>
          <w:p>
            <w:pPr>
              <w:pStyle w:val="TableContents"/>
              <w:bidi w:val="0"/>
              <w:spacing w:before="0" w:after="283"/>
              <w:jc w:val="both"/>
              <w:rPr/>
            </w:pPr>
            <w:r>
              <w:rPr/>
              <w:t>neither the Company, the Service Recipient nor any other Affiliate will be liable for any foreign exchange rate fluctuation between the Grantee’s local currency and the United States Dollar that may affect the value of the SARs or of any amounts due to the Grantee pursuant to the exercise of the SARs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hereby explicitly and unambiguously consents to the collection, use and transfer, in electronic or other form, of his or her personal data as described in this Agreement and any other SARs grant materials by and among, as applicable, the Service Recipient, the Company, and any other subsidiaries and affiliates of the Company for the exclusive purpose of implementing, administering and managing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the Company and the Service Recipient may hold certain personal information about the Grantee, including, but not limited to, the Grantee’s name, home address and telephone number, e-mail address, date of birth, social insurance number (to the extent permitted under applicable local law), passport or other identification number (e.g., resident registration number), salary, nationality, job title, any shares of Company common stock or directorships held in the Company, details of all SARs or equivalent benefits awarded, cancelled, purchased, exercised, vested, unvested or outstanding in the Grantee’s favor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for the exclusive purpose of implementing, administering and managing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that Data will be transferred to such service provider(s) as may be selected by the Company to assist with the implementation, administration and management of the Plan. The recipients of Data may be located in the United States or elsewhere, and each recipient’s country may have different data privacy laws and protections than the Grantee’s country. The Grantee may request a list with the names and addresses of any potential recipients of Data by contacting the Grantee’s local human resources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authorizes the Company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the Grantee’s SARs, including any requisite transfer of such Data as may be required to a broker, escrow agent or other third party with whom Grantee may elect to deposit any payment received upon exercise of the SARs.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without cost, by contacting the Grantee’s local human resources representative. Further, the Grantee is providing the consents herein on a purely voluntary basis. If the Grantee does not consent, or if the Grantee later seeks to revoke consent, the Grantee’s employment or service with the Service Recipient will not be affected; the only consequence of refusing or withdrawing consent isthat the Company would not be able to grant SARs or other awards under the Plan to the Grantee or administer or maintain such awards. Therefore, the Grantee understands that refusing or withdrawing consent may affect the Grantee’s ability to participate in the Plan. For more information on the consequences of refusal to consent or withdrawal of consent, the Grantee may contact his or her local human resources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Investment Representation</w:t>
      </w:r>
      <w:r>
        <w:rPr>
          <w:rFonts w:ascii="Times New Roman;Times;Serif" w:hAnsi="Times New Roman;Times;Serif"/>
          <w:b w:val="false"/>
          <w:i w:val="false"/>
          <w:caps w:val="false"/>
          <w:smallCaps w:val="false"/>
          <w:sz w:val="20"/>
        </w:rPr>
        <w:t>. The Grantee represents and warrants to the Company that the Grantee has read this Agreement carefully, and to the extent the Grantee believes it necessary, has discussed this Agreement and its impact and limitations upon the Grantee with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No Advice Regarding Grant</w:t>
      </w:r>
      <w:r>
        <w:rPr>
          <w:rFonts w:ascii="Times New Roman;Times;Serif" w:hAnsi="Times New Roman;Times;Serif"/>
          <w:b w:val="false"/>
          <w:i w:val="false"/>
          <w:caps w:val="false"/>
          <w:smallCaps w:val="false"/>
          <w:sz w:val="20"/>
        </w:rPr>
        <w:t>. The Company is not providing any tax, legal or financial advice, nor is the Company making any recommendations regarding the Grantee’s participation in the Plan or the Grantee’s exercise of the SARs. The Grantee understands and acknowledges that he or she should consult with his or her own personal tax, legal and financial advisors regarding the Grantee’s participation in the Plan before taking any action related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The right to the SARs granted under this Agreement may not be sold, exchanged, transferred, pledged, hypothecated, encumbered or otherwise disposed of except as provided in the Plan. The Company shall have the right to assign to any of its affiliates any of its rights, or to delegate to any of its affiliates any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inure to the benefit of and be binding upon the parties hereto and their respective heirs, executors, administrators,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Gender and Number</w:t>
      </w:r>
      <w:r>
        <w:rPr>
          <w:rFonts w:ascii="Times New Roman;Times;Serif" w:hAnsi="Times New Roman;Times;Serif"/>
          <w:b w:val="false"/>
          <w:i w:val="false"/>
          <w:caps w:val="false"/>
          <w:smallCaps w:val="false"/>
          <w:sz w:val="20"/>
        </w:rPr>
        <w:t>. All terms used in this Agreement shall be deemed to refer to the masculine, feminine, neuter, singular or plural as the context may require.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Terms and Conditions of Plan</w:t>
      </w:r>
      <w:r>
        <w:rPr>
          <w:rFonts w:ascii="Times New Roman;Times;Serif" w:hAnsi="Times New Roman;Times;Serif"/>
          <w:b w:val="false"/>
          <w:i w:val="false"/>
          <w:caps w:val="false"/>
          <w:smallCaps w:val="false"/>
          <w:sz w:val="20"/>
        </w:rPr>
        <w:t>. The terms and conditions included in the Plan are incorporated by reference herein, and to the extent that any conflict may exist between any term or provision of this Agreement and any term or provision of the Plan as in effect from time to time, such term or provision of the Plan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Appendix</w:t>
      </w:r>
      <w:r>
        <w:rPr>
          <w:rFonts w:ascii="Times New Roman;Times;Serif" w:hAnsi="Times New Roman;Times;Serif"/>
          <w:b w:val="false"/>
          <w:i w:val="false"/>
          <w:caps w:val="false"/>
          <w:smallCaps w:val="false"/>
          <w:sz w:val="20"/>
        </w:rPr>
        <w:t>. Notwithstanding any terms or conditions in this SAR Agreement, the SARs shall be subject to any special terms and conditions set forth in any Appendix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SAR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Imposition of Other Requirements</w:t>
      </w:r>
      <w:r>
        <w:rPr>
          <w:rFonts w:ascii="Times New Roman;Times;Serif" w:hAnsi="Times New Roman;Times;Serif"/>
          <w:b w:val="false"/>
          <w:i w:val="false"/>
          <w:caps w:val="false"/>
          <w:smallCaps w:val="false"/>
          <w:sz w:val="20"/>
        </w:rPr>
        <w:t>. The Company reserves the right to impose other requirements on the Grantee’s participation in the Plan and the SARs to the extent the Company determines it is necessary or advisable for legal or administrative reasons, and to require the Grantee to sign any additional agreements or undertakings that may be necessary to accomplish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Certain Remedies</w:t>
      </w:r>
      <w:r>
        <w:rPr>
          <w:rFonts w:ascii="Times New Roman;Times;Serif" w:hAnsi="Times New Roman;Times;Serif"/>
          <w:b w:val="false"/>
          <w:i w:val="false"/>
          <w:caps w:val="false"/>
          <w:smallCaps w:val="false"/>
          <w:sz w:val="20"/>
        </w:rPr>
        <w:t>. Without intending to limit the remedies available to the Company, the Grantee agrees that damages at law will be an insufficient remedy in the event the Grantee violates the terms of this Agreement. The Grantee agrees that the Company may apply for and have injunctive or other equitable relief in any court of competent jurisdiction to restrain the breach or threatened breach of, or otherwise specifically to enforce, any of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No Restriction on Right of Company to Effect Corporate Changes</w:t>
      </w:r>
      <w:r>
        <w:rPr>
          <w:rFonts w:ascii="Times New Roman;Times;Serif" w:hAnsi="Times New Roman;Times;Serif"/>
          <w:b w:val="false"/>
          <w:i w:val="false"/>
          <w:caps w:val="false"/>
          <w:smallCaps w:val="false"/>
          <w:sz w:val="20"/>
        </w:rPr>
        <w:t>. Neither the Plan nor this Agreement shall affect in any way the right or power of the Company or its stockholders to make or authorize any or all adjustments, recapitalizations, reorganizations or other changes in the capital structure or business of the Company,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(including the Plan, which is incorporated herein by reference and all additional riders incorporated herein) sets forth all of the promises, agreements, conditions and understandings between the parties hereto with respect to the Award, and there are no promises, agreements, conditions, understandings, warranties or representations, oral or written, express or implied, between them with respect to the SARs other than as set forth therein or herein. This Agreement supersedes and replaces any and all prior agreements between the parties hereto with respect to SARs. This Agreement is, and is intended by the parties to be, an integration of any and all prior agreements or understandings, oral or written, with respect to the SARs. Subject to Section 14, no modification, amendment or waiver of any of the provisions of this Agreement shall be effective unless approved in writing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Invalid or Unenforceable Provision</w:t>
      </w:r>
      <w:r>
        <w:rPr>
          <w:rFonts w:ascii="Times New Roman;Times;Serif" w:hAnsi="Times New Roman;Times;Serif"/>
          <w:b w:val="false"/>
          <w:i w:val="false"/>
          <w:caps w:val="false"/>
          <w:smallCaps w:val="false"/>
          <w:sz w:val="20"/>
        </w:rPr>
        <w:t>. The invalidity or unenforceability of any particular provision of this Agreement shall not affect the other provisions hereof, and this Agreement shall be construed in all respects as if such invalid or unenforceable provision was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Governing Law and Venue</w:t>
      </w:r>
      <w:r>
        <w:rPr>
          <w:rFonts w:ascii="Times New Roman;Times;Serif" w:hAnsi="Times New Roman;Times;Serif"/>
          <w:b w:val="false"/>
          <w:i w:val="false"/>
          <w:caps w:val="false"/>
          <w:smallCaps w:val="false"/>
          <w:sz w:val="20"/>
        </w:rPr>
        <w:t>. This Agreement shall be construed and enforced in accordance with the laws of Delaware, without giving effect to principles of conflicts of laws. Any and all disputes relating to, concerning or arising from this Agreement, or relating to, concerning or arising from the relationship between the parties evidenced by the SARs or this Agreement,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Neither the Plan, nor this Agreement nor the granting or exercisability of the SARs shall confer upon the Grantee any right to be retained in continuous service with the Company or its Affiliates, nor be interpreted as forming any employment or service contract with the Company. Further, nothing in the Plan or this Agreement shall be construed to limit the discretion of the Service Recipient to terminate the Grantee’s continuous service with the Company or its Affiliates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The Grantee acknowledges and represents that he or she is proficient in the English language and understands the terms of this Agreement and any other document related to the Plan. If the Grantee has received this Agreement and/or any other document related to the Plan translated into a language other than English and if the meaning of the translated version is different than the English version in any way, the English version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Foreign Asset/Account Reporting Requirements and Exchange Controls</w:t>
      </w:r>
      <w:r>
        <w:rPr>
          <w:rFonts w:ascii="Times New Roman;Times;Serif" w:hAnsi="Times New Roman;Times;Serif"/>
          <w:b w:val="false"/>
          <w:i w:val="false"/>
          <w:caps w:val="false"/>
          <w:smallCaps w:val="false"/>
          <w:sz w:val="20"/>
        </w:rPr>
        <w:t>. Certain foreign asset and/or foreign account reporting requirements and exchange controls may affect the Grantee’s ability to acquire or hold cash received upon exercise of the SARs in a brokerage or bank account outside the Grantee’s country. The Grantee may be required to report such accounts, assets or transactions to the tax or other authorities in the Grantee’s country and/or to repatriate funds received as a result of participation in the Plan to the Grantee’s country through a designated bank or broker within a certain time after receipt. It is the Grantee’s responsibility to comply with such regulations, and the Grantee is advised to consult a personal legal advisor for any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All decisions of the Board (or the Committee) with respect to the interpretation, construction and application of the Plan and/or this Agreement shall be conclusive and binding upon the Grantee and all other persons.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This Agreement has been drafted with the intent that payments (and the right to payments) under it are exempt from or comply with the requirements of Section 409A of the U.S. Internal Revenue Code of 1986, as amended, and the regulations thereunder applicable to nonqualified deferred compensation. This Agreement shall be interpreted in a manner consistent with such intent.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The Company may, in its sole discretion, decide to deliver any documents related to the SARs awarded under, and participation in, the Plan or future SARs that may be awarded under the Plan by electronic means or to request the Grantee’s consent to participate in the Plan by electronic means. The Grantee hereby consents to receive such documents by electronic delivery and, if requested, to agree to participate in the Plan through an online or electronic system established and maintained by the Company or a third party designated by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pPr>
            <w:r>
              <w:rPr/>
              <w:t>This Agreement may be executed (including by electronic acceptance)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(e)</w:t>
            </w:r>
          </w:p>
        </w:tc>
        <w:tc>
          <w:tcPr>
            <w:tcW w:w="9943" w:type="dxa"/>
            <w:tcBorders/>
            <w:vAlign w:val="center"/>
          </w:tcPr>
          <w:p>
            <w:pPr>
              <w:pStyle w:val="TableContents"/>
              <w:bidi w:val="0"/>
              <w:spacing w:before="0" w:after="283"/>
              <w:jc w:val="both"/>
              <w:rPr/>
            </w:pPr>
            <w:r>
              <w:rPr/>
              <w:t>By accepting this Agreement, the Grantee hereby acknowledges receipt of a copy of the Plan and this Agreement. The Grantee has read and understands the terms and provisions thereof, and accepts the SARs subject to all of the terms and conditions of the Plan and this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008" w:type="dxa"/>
        <w:jc w:val="left"/>
        <w:tblInd w:w="0" w:type="dxa"/>
        <w:tblLayout w:type="fixed"/>
        <w:tblCellMar>
          <w:top w:w="0" w:type="dxa"/>
          <w:left w:w="0" w:type="dxa"/>
          <w:bottom w:w="0" w:type="dxa"/>
          <w:right w:w="0" w:type="dxa"/>
        </w:tblCellMar>
      </w:tblPr>
      <w:tblGrid>
        <w:gridCol w:w="952"/>
        <w:gridCol w:w="102"/>
        <w:gridCol w:w="60"/>
        <w:gridCol w:w="1639"/>
        <w:gridCol w:w="255"/>
      </w:tblGrid>
      <w:tr>
        <w:trPr/>
        <w:tc>
          <w:tcPr>
            <w:tcW w:w="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105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GRANTEE:</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TIGO ENERGY, INC.</w:t>
            </w:r>
          </w:p>
        </w:tc>
      </w:tr>
      <w:tr>
        <w:trPr/>
        <w:tc>
          <w:tcPr>
            <w:tcW w:w="95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r>
      <w:tr>
        <w:trPr/>
        <w:tc>
          <w:tcPr>
            <w:tcW w:w="95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Appendix</w:t>
      </w:r>
    </w:p>
    <w:p>
      <w:pPr>
        <w:pStyle w:val="TextBody"/>
        <w:bidi w:val="0"/>
        <w:spacing w:before="0" w:after="0"/>
        <w:ind w:left="0" w:right="0" w:firstLine="36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STOCK APPRECIATION RIGHT award AGREEMENT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 CHINA Grantees</w:t>
        <w:br/>
        <w:t>UNDER THE tigo energy, INc.</w:t>
        <w:br/>
        <w:t>2023 STOCK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shall have the meanings ascribed to them in the Plan and/or the SAR Agreement to which this Appendix is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Appendix includes additional terms and conditions that govern the SARs granted to the Grantee under the Plan if the Grantee resides and/or works in one of the countries listed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is a citizen or resident of a country other than the one in which he or she is currently working and/or residing, transfers to another country after the Grant Date or is considered a resident of another country for local law purposes, the Company shall, in its discretion, determine the extent to which the special terms and conditions contained herein shall be applicable to the Grantee.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Appendix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April 2023. Such laws are often complex and change frequently. As a result, the Company strongly recommends that the Grantee not rely on the information noted herein as the only source of information relating to the consequences of the Grantee’s participation in the Plan because the information may be out of date by the time the Grantee exercises the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information contained in this Appendix is general in nature and may not apply to the Grantee’s particular situation, and the Company is not in a position to assure the Grantee of any particular result. Accordingly, the Grantee is advised to seek appropriate professional advice as to how the applicable laws in his or her country may apply to his or her situation.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Grantee understands that if he or she is a citizen or resident of a country other than the one in which he or she is currently residing and/or working, transfers to another country after the Grant Date, or is considered a resident of another country for local law purposes, the notifications contained herein may not be applicable to the Grantee in the same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22" w:name="ea183124ex4-12_tigoenergy.htm"/>
      <w:bookmarkStart w:id="23" w:name="ksea183124ex412_tigoenergy"/>
      <w:bookmarkEnd w:id="22"/>
      <w:bookmarkEnd w:id="23"/>
      <w:r>
        <w:rPr>
          <w:b/>
        </w:rPr>
        <w:t>Exhibit 4.12</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val="false"/>
          <w:smallCaps w:val="false"/>
          <w:sz w:val="20"/>
        </w:rPr>
        <w:t xml:space="preserve">TIGO ENERGY, INC. </w:t>
      </w:r>
      <w:r>
        <w:rPr>
          <w:rFonts w:ascii="Times New Roman;Times;Serif" w:hAnsi="Times New Roman;Times;Serif"/>
          <w:b/>
          <w:i w:val="false"/>
          <w:caps/>
          <w:sz w:val="20"/>
        </w:rPr>
        <w:br/>
        <w:t>2023 INCENTIVE PLAN</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br/>
        <w:t>STOCK OPTION GRANT NOTICE</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[VERSION FOR ISRAELI PARTICIPANTS AS DEFINED IN THE ISRAELI SUBPLAN]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pursuant to its 2023 Incentive Plan(which includes for the purposes of this Stock Option Grant Notice the terms of its Subplan for Israeli Participants), as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hereby grants to the holder listed below (the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an option to purchase the number of shares of Common Stock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set forth below (the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xml:space="preserve">”). This Option is subject to all of the terms and conditions set forth herein, as well as in the Plan and the Stock Option Agreement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Stock Option Agreement</w:t>
      </w:r>
      <w:r>
        <w:rPr>
          <w:rFonts w:ascii="Times New Roman;Times;Serif" w:hAnsi="Times New Roman;Times;Serif"/>
          <w:b w:val="false"/>
          <w:i w:val="false"/>
          <w:caps w:val="false"/>
          <w:smallCaps w:val="false"/>
          <w:sz w:val="20"/>
        </w:rPr>
        <w:t>”), each of which are incorporated herein by reference. Unless otherwise defined herein, the terms defined in the Plan shall have the same defined meanings in this Grant Notice and the Stock Option Agreement.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4"/>
        <w:gridCol w:w="8191"/>
      </w:tblGrid>
      <w:tr>
        <w:trPr/>
        <w:tc>
          <w:tcPr>
            <w:tcW w:w="2014" w:type="dxa"/>
            <w:tcBorders/>
            <w:vAlign w:val="center"/>
          </w:tcPr>
          <w:p>
            <w:pPr>
              <w:pStyle w:val="TableContents"/>
              <w:bidi w:val="0"/>
              <w:spacing w:before="0" w:after="283"/>
              <w:jc w:val="left"/>
              <w:rPr>
                <w:b/>
              </w:rPr>
            </w:pPr>
            <w:r>
              <w:rPr>
                <w:b/>
              </w:rPr>
              <w:t>Participant:</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Grant Date:</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Exercise Price per Share:</w:t>
            </w:r>
          </w:p>
        </w:tc>
        <w:tc>
          <w:tcPr>
            <w:tcW w:w="8191" w:type="dxa"/>
            <w:tcBorders/>
            <w:vAlign w:val="center"/>
          </w:tcPr>
          <w:p>
            <w:pPr>
              <w:pStyle w:val="TableContents"/>
              <w:bidi w:val="0"/>
              <w:spacing w:before="0" w:after="283"/>
              <w:jc w:val="left"/>
              <w:rPr/>
            </w:pPr>
            <w:r>
              <w:rPr/>
              <w:t>$[___________]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Total Exercise Price:</w:t>
            </w:r>
          </w:p>
        </w:tc>
        <w:tc>
          <w:tcPr>
            <w:tcW w:w="8191" w:type="dxa"/>
            <w:tcBorders/>
            <w:vAlign w:val="center"/>
          </w:tcPr>
          <w:p>
            <w:pPr>
              <w:pStyle w:val="TableContents"/>
              <w:bidi w:val="0"/>
              <w:spacing w:before="0" w:after="283"/>
              <w:jc w:val="left"/>
              <w:rPr/>
            </w:pPr>
            <w:r>
              <w:rPr/>
              <w:t>[____________]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 xml:space="preserve">Total Number of Shares </w:t>
              <w:br/>
              <w:t>Subject to the Option:</w:t>
            </w:r>
          </w:p>
        </w:tc>
        <w:tc>
          <w:tcPr>
            <w:tcW w:w="8191" w:type="dxa"/>
            <w:tcBorders/>
            <w:vAlign w:val="center"/>
          </w:tcPr>
          <w:p>
            <w:pPr>
              <w:pStyle w:val="TableContents"/>
              <w:bidi w:val="0"/>
              <w:spacing w:before="0" w:after="283"/>
              <w:jc w:val="left"/>
              <w:rPr/>
            </w:pPr>
            <w:r>
              <w:rPr/>
              <w:t xml:space="preserve">[____________] </w:t>
            </w:r>
          </w:p>
        </w:tc>
      </w:tr>
      <w:tr>
        <w:trPr/>
        <w:tc>
          <w:tcPr>
            <w:tcW w:w="2014" w:type="dxa"/>
            <w:tcBorders/>
            <w:vAlign w:val="center"/>
          </w:tcPr>
          <w:p>
            <w:pPr>
              <w:pStyle w:val="TableContents"/>
              <w:bidi w:val="0"/>
              <w:spacing w:before="0" w:after="283"/>
              <w:jc w:val="left"/>
              <w:rPr>
                <w:b/>
              </w:rPr>
            </w:pPr>
            <w:r>
              <w:rPr>
                <w:b/>
              </w:rPr>
              <w:t>Expiration Date:</w:t>
            </w:r>
          </w:p>
        </w:tc>
        <w:tc>
          <w:tcPr>
            <w:tcW w:w="8191" w:type="dxa"/>
            <w:tcBorders/>
            <w:vAlign w:val="center"/>
          </w:tcPr>
          <w:p>
            <w:pPr>
              <w:pStyle w:val="TableContents"/>
              <w:bidi w:val="0"/>
              <w:spacing w:before="0" w:after="283"/>
              <w:jc w:val="left"/>
              <w:rPr/>
            </w:pPr>
            <w:r>
              <w:rPr/>
              <w:t>The Option will expire ten (10) years after the Grant Date.</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 xml:space="preserve">Vesting Commencement Date: </w:t>
            </w:r>
          </w:p>
        </w:tc>
        <w:tc>
          <w:tcPr>
            <w:tcW w:w="8191" w:type="dxa"/>
            <w:tcBorders/>
            <w:vAlign w:val="center"/>
          </w:tcPr>
          <w:p>
            <w:pPr>
              <w:pStyle w:val="TableContents"/>
              <w:bidi w:val="0"/>
              <w:spacing w:before="0" w:after="283"/>
              <w:jc w:val="left"/>
              <w:rPr/>
            </w:pPr>
            <w:r>
              <w:rPr/>
              <w:t>[_____________]</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Vesting Schedule:</w:t>
            </w:r>
          </w:p>
        </w:tc>
        <w:tc>
          <w:tcPr>
            <w:tcW w:w="8191" w:type="dxa"/>
            <w:tcBorders/>
            <w:vAlign w:val="center"/>
          </w:tcPr>
          <w:p>
            <w:pPr>
              <w:pStyle w:val="TableContents"/>
              <w:bidi w:val="0"/>
              <w:spacing w:before="0" w:after="283"/>
              <w:jc w:val="both"/>
              <w:rPr/>
            </w:pPr>
            <w:r>
              <w:rPr/>
              <w:t>[Twenty-five percent (25%) of the Option Shares shall vest twelve (12) months after the Vesting Commencement Date and 1/48th of the Option Shares shall vest on the last day of each calendar month thereafter, subject to Participant’s service through each such date.]</w:t>
            </w:r>
          </w:p>
        </w:tc>
      </w:tr>
      <w:tr>
        <w:trPr/>
        <w:tc>
          <w:tcPr>
            <w:tcW w:w="2014"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b/>
              </w:rPr>
            </w:pPr>
            <w:r>
              <w:rPr>
                <w:b/>
              </w:rPr>
              <w:t>Termination:</w:t>
            </w:r>
          </w:p>
        </w:tc>
        <w:tc>
          <w:tcPr>
            <w:tcW w:w="8191" w:type="dxa"/>
            <w:tcBorders/>
            <w:vAlign w:val="center"/>
          </w:tcPr>
          <w:p>
            <w:pPr>
              <w:pStyle w:val="TableContents"/>
              <w:bidi w:val="0"/>
              <w:spacing w:before="0" w:after="283"/>
              <w:jc w:val="both"/>
              <w:rPr/>
            </w:pPr>
            <w:r>
              <w:rPr/>
              <w:t>If the Participant experiences a termination of employment or service with the Company or its Subsidiaries, any portion of the Option that has not become vested on or prior to the date of such termination of employment or service will thereupon be automatically forfeited by the Participant without payment of any consideration therefor.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Type of Option: ☐ </w:t>
      </w:r>
      <w:r>
        <w:rPr>
          <w:rFonts w:ascii="Times New Roman;Times;Serif" w:hAnsi="Times New Roman;Times;Serif"/>
          <w:b w:val="false"/>
          <w:i w:val="false"/>
          <w:caps w:val="false"/>
          <w:smallCaps w:val="false"/>
          <w:sz w:val="20"/>
        </w:rPr>
        <w:t>Incentive Stock Option    ☐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his or her signature and the Company’s signature below, the Participant agrees to be bound by the terms and conditions of the Plan, the Stock Option Agreement and this Grant Notice. The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The Participant hereby agrees to accept as binding, conclusive and final all decisions or interpretations of the Administrator upon any questions arising under the Plan, the Stock Option Agreement or this Grant Notice. In addition, by signing below, the Participant also agrees that the Company, in its sole discretion, may satisfy any withholding obligations in accordance with Sections 4.3 and 4.4 of the Agreement and the Plan by (i) withholding Shares otherwise issuable to the Participant upon exercise of the Option, (ii) instructing a broker on the Participant’s behalf to sell Shares otherwise issuable to the Participant upon exercise of the Option and submit the proceeds of such sale to the Company, or (iii) using any other method permitted by Section 4.3 and 4.4 of the Agreement or the Plan.</w:t>
      </w:r>
    </w:p>
    <w:p>
      <w:pPr>
        <w:pStyle w:val="TextBody"/>
        <w:bidi w:val="0"/>
        <w:spacing w:before="0" w:after="0"/>
        <w:ind w:left="0" w:right="0" w:firstLine="720"/>
        <w:jc w:val="both"/>
        <w:rPr>
          <w:caps w:val="false"/>
          <w:smallCaps w:val="false"/>
        </w:rPr>
      </w:pPr>
      <w:r>
        <w:rPr>
          <w:caps w:val="false"/>
          <w:smallCaps w:val="false"/>
        </w:rPr>
        <w:t> </w:t>
      </w:r>
    </w:p>
    <w:tbl>
      <w:tblPr>
        <w:tblW w:w="4463" w:type="dxa"/>
        <w:jc w:val="left"/>
        <w:tblInd w:w="0" w:type="dxa"/>
        <w:tblLayout w:type="fixed"/>
        <w:tblCellMar>
          <w:top w:w="0" w:type="dxa"/>
          <w:left w:w="0" w:type="dxa"/>
          <w:bottom w:w="0" w:type="dxa"/>
          <w:right w:w="0" w:type="dxa"/>
        </w:tblCellMar>
      </w:tblPr>
      <w:tblGrid>
        <w:gridCol w:w="2478"/>
        <w:gridCol w:w="46"/>
        <w:gridCol w:w="60"/>
        <w:gridCol w:w="1678"/>
        <w:gridCol w:w="126"/>
        <w:gridCol w:w="75"/>
      </w:tblGrid>
      <w:tr>
        <w:trPr/>
        <w:tc>
          <w:tcPr>
            <w:tcW w:w="2524" w:type="dxa"/>
            <w:gridSpan w:val="2"/>
            <w:tcBorders/>
            <w:vAlign w:val="center"/>
          </w:tcPr>
          <w:p>
            <w:pPr>
              <w:pStyle w:val="TableContents"/>
              <w:bidi w:val="0"/>
              <w:spacing w:before="0" w:after="283"/>
              <w:jc w:val="left"/>
              <w:rPr>
                <w:b/>
                <w:caps/>
              </w:rPr>
            </w:pPr>
            <w:r>
              <w:rPr>
                <w:b/>
                <w:caps/>
              </w:rPr>
              <w:t xml:space="preserve">TIGO ENERGY, INC.: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both"/>
              <w:rPr>
                <w:b/>
              </w:rPr>
            </w:pPr>
            <w:r>
              <w:rPr>
                <w:b/>
              </w:rPr>
              <w:t>PARTICIPANT:</w:t>
            </w:r>
          </w:p>
        </w:tc>
        <w:tc>
          <w:tcPr>
            <w:tcW w:w="75" w:type="dxa"/>
            <w:tcBorders/>
            <w:vAlign w:val="center"/>
          </w:tcPr>
          <w:p>
            <w:pPr>
              <w:pStyle w:val="TableContents"/>
              <w:bidi w:val="0"/>
              <w:spacing w:before="0" w:after="283"/>
              <w:jc w:val="left"/>
              <w:rPr/>
            </w:pPr>
            <w:r>
              <w:rPr/>
              <w:t> </w:t>
            </w:r>
          </w:p>
        </w:tc>
      </w:tr>
      <w:tr>
        <w:trPr/>
        <w:tc>
          <w:tcPr>
            <w:tcW w:w="25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478" w:type="dxa"/>
            <w:tcBorders/>
            <w:vAlign w:val="center"/>
          </w:tcPr>
          <w:p>
            <w:pPr>
              <w:pStyle w:val="TableContents"/>
              <w:bidi w:val="0"/>
              <w:spacing w:before="0" w:after="283"/>
              <w:jc w:val="both"/>
              <w:rPr/>
            </w:pPr>
            <w:r>
              <w:rPr/>
              <w:t>By:</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both"/>
              <w:rPr/>
            </w:pPr>
            <w:r>
              <w:rPr/>
              <w:t>By:</w:t>
            </w:r>
          </w:p>
        </w:tc>
        <w:tc>
          <w:tcPr>
            <w:tcW w:w="12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78" w:type="dxa"/>
            <w:tcBorders/>
            <w:vAlign w:val="center"/>
          </w:tcPr>
          <w:p>
            <w:pPr>
              <w:pStyle w:val="TableContents"/>
              <w:bidi w:val="0"/>
              <w:spacing w:before="0" w:after="283"/>
              <w:jc w:val="both"/>
              <w:rPr/>
            </w:pPr>
            <w:r>
              <w:rPr/>
              <w:t xml:space="preserve">Print Name: </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both"/>
              <w:rPr/>
            </w:pPr>
            <w:r>
              <w:rPr/>
              <w:t>Print Name:</w:t>
            </w:r>
          </w:p>
        </w:tc>
        <w:tc>
          <w:tcPr>
            <w:tcW w:w="12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2478" w:type="dxa"/>
            <w:tcBorders/>
            <w:vAlign w:val="center"/>
          </w:tcPr>
          <w:p>
            <w:pPr>
              <w:pStyle w:val="TableContents"/>
              <w:bidi w:val="0"/>
              <w:spacing w:before="0" w:after="283"/>
              <w:jc w:val="both"/>
              <w:rPr/>
            </w:pPr>
            <w:r>
              <w:rPr/>
              <w:t>Title:</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both"/>
              <w:rPr/>
            </w:pPr>
            <w:r>
              <w:rPr/>
              <w:t>  </w:t>
            </w:r>
          </w:p>
        </w:tc>
        <w:tc>
          <w:tcPr>
            <w:tcW w:w="126"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478" w:type="dxa"/>
            <w:tcBorders/>
            <w:vAlign w:val="center"/>
          </w:tcPr>
          <w:p>
            <w:pPr>
              <w:pStyle w:val="TableContents"/>
              <w:bidi w:val="0"/>
              <w:spacing w:before="0" w:after="283"/>
              <w:jc w:val="both"/>
              <w:rPr/>
            </w:pPr>
            <w:r>
              <w:rPr/>
              <w:t xml:space="preserve">Address: </w:t>
            </w:r>
          </w:p>
        </w:tc>
        <w:tc>
          <w:tcPr>
            <w:tcW w:w="4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both"/>
              <w:rPr/>
            </w:pPr>
            <w:r>
              <w:rPr/>
              <w:t xml:space="preserve">Address: </w:t>
            </w:r>
          </w:p>
        </w:tc>
        <w:tc>
          <w:tcPr>
            <w:tcW w:w="12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TO STOCK OPTION GRANT NOTICE</w:t>
        <w:br/>
        <w:br/>
      </w:r>
      <w:r>
        <w:rPr>
          <w:rFonts w:ascii="Times New Roman;Times;Serif" w:hAnsi="Times New Roman;Times;Serif"/>
          <w:b/>
          <w:i w:val="false"/>
          <w:caps w:val="false"/>
          <w:smallCaps w:val="false"/>
          <w:sz w:val="20"/>
        </w:rPr>
        <w:t>STOCK</w:t>
      </w:r>
      <w:r>
        <w:rPr>
          <w:rFonts w:ascii="Times New Roman;Times;Serif" w:hAnsi="Times New Roman;Times;Serif"/>
          <w:b/>
          <w:i w:val="false"/>
          <w:smallCaps/>
          <w:sz w:val="20"/>
        </w:rPr>
        <w:t xml:space="preserve"> OPTION AGREEMENT</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 Option Grant Notice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to which this Stock Option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attached, Tigo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has granted to the Participant an Option under the Company’s 2023 Incentive Plan (which includes for the purpose of this Stock Option Agreement the provisions of the Subplan for Israeli Participants), as may be amended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to purchase the number of Shares indicated in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not specifically defined herein shall have the meanings specified in the Plan and the Grant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Incorporation of Terms of Plan</w:t>
      </w:r>
      <w:r>
        <w:rPr>
          <w:rFonts w:ascii="Times New Roman;Times;Serif" w:hAnsi="Times New Roman;Times;Serif"/>
          <w:b w:val="false"/>
          <w:i w:val="false"/>
          <w:caps w:val="false"/>
          <w:smallCaps w:val="false"/>
          <w:sz w:val="20"/>
        </w:rPr>
        <w:t>. The Option is subject to the terms and conditions of the Plan (including the Subplan for Israeli Participants) which are incorporated herein by reference. In the event of any inconsistency between the Plan and this Agreement, the terms of the Plan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GRANT OF OPTION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In consideration of the Participant’s past or continued employment with or service to the Company or any Subsidiary and for other good and valuable consideration, effective as of the Grant Date set forth in the Grant Notice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 the Company irrevocably grants to the Participant the Option to purchase any part or all of an aggregate of the number of Shares set forth in the Grant Notice, upon the terms and conditions set forth in the Plan and this Agreement, subject to adjustments as provided in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exercise price of the Shares subject to the Option shall be as set forth in the Grant Notice, without commission or other charge;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price per share of the Shares subject to the Option shall not be less than 100% of the Fair Market Value of a Share on the Grant Date. Notwithstanding the foregoing, if this Option is designated as an Incentive Stock Option and the Participant is a Greater Than 10% Stockholder as of the Grant Date, the exercise price per share of the Shares subject to the Option shall not be less than 110% of the Fair Market Value of a Share on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Consideration to the Company</w:t>
      </w:r>
      <w:r>
        <w:rPr>
          <w:rFonts w:ascii="Times New Roman;Times;Serif" w:hAnsi="Times New Roman;Times;Serif"/>
          <w:b w:val="false"/>
          <w:i w:val="false"/>
          <w:caps w:val="false"/>
          <w:smallCaps w:val="false"/>
          <w:sz w:val="20"/>
        </w:rPr>
        <w:t>. In consideration of the grant of the Option by the Company, the Participant agrees to render faithful and efficient services to the Company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With respect to any 102 Trustee Grant, subject to the provisions of Section 102 and any rules or regulation or orders or procedures promulgated thereunder, a Participant shall not sell or release from trust any Share received upon the exercise of a 102 Trustee Grant and/or any Share received subsequently following any realization of rights, including without limitation, bonus shares, until the lapse of the Required Holding Period. Notwithstanding the above, if any such sale or release occurs during the Required Holding Period, the sanctions under Section 102 of the Ordinance and under any rules or regulation or orders or procedures promulgated thereunder shall apply to and shall be borne by such Participant.</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1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With respect to any 102 Trustee Grant, Participant hereby acknowledges that Participant is familiar with the provisions of Section 102 and the regulations and rules promulgated thereunder, including without limitations the type of Option granted to Participant hereunder and the tax implications applicable to such grant. Participant accepts the provisions of the trust agreement signed between the Company and the Trustee, and agrees to be bound by its terms.</w:t>
      </w:r>
    </w:p>
    <w:p>
      <w:pPr>
        <w:pStyle w:val="TextBody"/>
        <w:bidi w:val="0"/>
        <w:spacing w:before="0" w:after="0"/>
        <w:ind w:left="18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PERIOD OF EXERCISABILITY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Commencement of Exercisability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Sections 3.2, 3.3, 5.11 and 5.17 hereof, the Option shall become vested and exercisable in such amounts and at such times and according to the vesting schedule set forth in the Grant Notice (rounding down to the nearest whole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contrary provision of this Agreement or the Plan, upon the Participant’s termination of employment or service with the Company or its Subsidiaries for any or no reason, any portion of the Option which has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portion of the Option. No portion of the Option which has not become vested and exercisable at the date of the Participant’s termination of employment or service with the Company or its Subsidiaries shall thereafter become vested and exercisable, except as may be otherwise provided by the Administrator or as set forth in a written agreement between the Company and the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Duration of Exercisability</w:t>
      </w:r>
      <w:r>
        <w:rPr>
          <w:rFonts w:ascii="Times New Roman;Times;Serif" w:hAnsi="Times New Roman;Times;Serif"/>
          <w:b w:val="false"/>
          <w:i w:val="false"/>
          <w:caps w:val="false"/>
          <w:smallCaps w:val="false"/>
          <w:sz w:val="20"/>
        </w:rPr>
        <w:t>. Each such installment which becomes vested and exercisable pursuant to the vesting schedule set forth in the Grant Notice shall remain vested and exercisable until it becomes unexercisable under Section 3.3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Expiration of Option</w:t>
      </w:r>
      <w:r>
        <w:rPr>
          <w:rFonts w:ascii="Times New Roman;Times;Serif" w:hAnsi="Times New Roman;Times;Serif"/>
          <w:b w:val="false"/>
          <w:i w:val="false"/>
          <w:caps w:val="false"/>
          <w:smallCaps w:val="false"/>
          <w:sz w:val="20"/>
        </w:rPr>
        <w:t>. Any portion of the Option that is vested may not be exercised after the first to occur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Expiration Date set forth in the Grant Notice, which shall in no event be more than ten (10) years from the Grant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this Option is designated as an Incentive Stock Option and the Participant, at the time the Option was granted, owned shares representing more than ten percent (10%) of the total combined voting power of all classes of shares of the Company or any related corporation (as determined in accordance with Treasury Regulation Section 1.422-2(f)), the expiration of five (5) years from the Grant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expiration of three (3) months from the date of the Participant’s termination of employment or service with the Company or its Subsidiaries, unless such termination occurs by reason of the Participant’s death or Disability;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expiration of one (1) year from the date of the Participant’s termination of employment or service with the Company or its Subsidiaries by reason of the Participant’s death or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Special Tax Consequences</w:t>
      </w:r>
      <w:r>
        <w:rPr>
          <w:rFonts w:ascii="Times New Roman;Times;Serif" w:hAnsi="Times New Roman;Times;Serif"/>
          <w:b w:val="false"/>
          <w:i w:val="false"/>
          <w:caps w:val="false"/>
          <w:smallCaps w:val="false"/>
          <w:sz w:val="20"/>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Tax Indemnity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agrees to indemnify and keep indemnified the Company, any Subsidiary and the Participant’s employing company, if different, from and against any liability for or obligation to pay any Tax Liability (a “</w:t>
      </w:r>
      <w:r>
        <w:rPr>
          <w:rFonts w:ascii="Times New Roman;Times;Serif" w:hAnsi="Times New Roman;Times;Serif"/>
          <w:b w:val="false"/>
          <w:i/>
          <w:caps w:val="false"/>
          <w:smallCaps w:val="false"/>
          <w:sz w:val="20"/>
        </w:rPr>
        <w:t>Tax Liability</w:t>
      </w:r>
      <w:r>
        <w:rPr>
          <w:rFonts w:ascii="Times New Roman;Times;Serif" w:hAnsi="Times New Roman;Times;Serif"/>
          <w:b w:val="false"/>
          <w:i w:val="false"/>
          <w:caps w:val="false"/>
          <w:smallCaps w:val="false"/>
          <w:sz w:val="20"/>
        </w:rPr>
        <w:t>”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Option cannot be exercised until the Participant has made such arrangements as the Company may require for the satisfaction of any Tax Liability that may arise in connection with the exercise of the Option or the acquisition of the Shares by the Participant. The Company shall not be required to issue, allot or transfer Shares until the Participant has satisfied this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EXERCISE OF OPTION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Person Eligible to Exercise</w:t>
      </w:r>
      <w:r>
        <w:rPr>
          <w:rFonts w:ascii="Times New Roman;Times;Serif" w:hAnsi="Times New Roman;Times;Serif"/>
          <w:b w:val="false"/>
          <w:i w:val="false"/>
          <w:caps w:val="false"/>
          <w:smallCaps w:val="false"/>
          <w:sz w:val="20"/>
        </w:rPr>
        <w:t>. Except as provided in Section 5.3 hereof, during the lifetime of the Participant, only the Participant may exercise the Option or any portion thereof, unless if permissible under Applicable Laws, by the Participant’s legal guardian or representative. After the death of the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Partial Exercise</w:t>
      </w:r>
      <w:r>
        <w:rPr>
          <w:rFonts w:ascii="Times New Roman;Times;Serif" w:hAnsi="Times New Roman;Times;Serif"/>
          <w:b w:val="false"/>
          <w:i w:val="false"/>
          <w:caps w:val="false"/>
          <w:smallCaps w:val="false"/>
          <w:sz w:val="20"/>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 The Option, or any exercisable portion thereof, may be exercised solely by delivery to the Chief Financial Officer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other written representations or documents as may be required in the Administrator’s sole discretion to evidence compliance with the Securities Act, the Exchange Act or any other applicable law, rule or regulation;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the Option or portion thereof shall be exercised pursuant to Section 4.1 hereof by any person or persons other than the Participant, appropriate proof of the right of such person or persons to exercise the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of the foregoing, the Company shall have the right to specify all conditions of the manner of exercise, which conditions may vary by country and which may be subject to change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Method of Payment</w:t>
      </w:r>
      <w:r>
        <w:rPr>
          <w:rFonts w:ascii="Times New Roman;Times;Serif" w:hAnsi="Times New Roman;Times;Serif"/>
          <w:b w:val="false"/>
          <w:i w:val="false"/>
          <w:caps w:val="false"/>
          <w:smallCaps w:val="false"/>
          <w:sz w:val="20"/>
        </w:rPr>
        <w:t>. Payment of the exercise price shall be by any of the following, or a combination thereof, at the election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or check, cash equivalent and/or Common Stock valued at the Fair Market Value at the time the Option is exercised (including, pursuant to procedures approved by the Administrator, by means of attestation of ownership of a sufficient number of shares of Common Stock in lieu of actual delivery of such shares to the Company); provided that such shares of Common Stock are not subject to any pledge or other security interest and are Mature Shares;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such other method as the Administrator may permit in accordance with Applicable Laws, in its sole discretion, including without limitation: (i) in other property having a Fair Market Value on the date of exercise equal to the Exercise Price, (ii) if there is a public market for the Common Stock at such time, by means of broker-assisted “cashless exercise” pursuant to which the Company is delivered a copy of irrevocable instructions to a stockbroker to sell the Common Stock otherwise deliverable upon the exercise of the Option and to deliver promptly to the Company an amount equal to the Exercise Price, or (C) by a “net exercise” method whereby the Company withholds from the delivery of the Common Stock for which the Option was exercised that number of Common Stock having a Fair Market Value equal to the aggregate Exercise Price for the Common Stock for which the Option was exercised.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Conditions to Issuance of Shares</w:t>
      </w:r>
      <w:r>
        <w:rPr>
          <w:rFonts w:ascii="Times New Roman;Times;Serif" w:hAnsi="Times New Roman;Times;Serif"/>
          <w:b w:val="false"/>
          <w:i w:val="false"/>
          <w:caps w:val="false"/>
          <w:smallCaps w:val="false"/>
          <w:sz w:val="20"/>
        </w:rPr>
        <w: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No fractional shares of Common Stock shall be issued or delivered pursuant to the Plan or any Award, and the Administrator shall determine whether cash, other securities or other property shall be paid or transferred in lieu of any fractional shares of Common Stock, or whether such fractional shares of Common Stock or any rights thereto shall be canceled, terminated or otherwise eliminated. Such Shares shall be fully paid and nonassessable. The Company shall not be required to issue or deliver any Shares purchased upon the exercise of the Option or portion thereof prior to fulfillment of all of the conditions in Section 7(d) of the Plan and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unless the Company has received an opinion of counsel, satisfactory to the Company that such shares may be offered or sold without registration pursuant to an available exemption therefrom and the terms and conditions of such exemption have been fully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obtaining of any approval or other clearance from any state or federal governmental agency which the Administrator shall, in its absolute discretion, determine to be necessary or advisable;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receipt by the Company of full payment for such Shares, including payment of any applicable withholding tax, which may be in one or more of the forms of consideration permitted under Section 4.4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lapse of such reasonable period of time following the exercise of the Option as the Administrator may from time to time establish for reasons of administrative convenience.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Rights as Stockholder</w:t>
      </w:r>
      <w:r>
        <w:rPr>
          <w:rFonts w:ascii="Times New Roman;Times;Serif" w:hAnsi="Times New Roman;Times;Serif"/>
          <w:b w:val="false"/>
          <w:i w:val="false"/>
          <w:caps w:val="false"/>
          <w:smallCaps w:val="false"/>
          <w:sz w:val="20"/>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Section 12 or 13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Whole Shares</w:t>
      </w:r>
      <w:r>
        <w:rPr>
          <w:rFonts w:ascii="Times New Roman;Times;Serif" w:hAnsi="Times New Roman;Times;Serif"/>
          <w:b w:val="false"/>
          <w:i w:val="false"/>
          <w:caps w:val="false"/>
          <w:smallCaps w:val="false"/>
          <w:sz w:val="20"/>
        </w:rPr>
        <w:t>. The Option may only be exercised for 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The Option shall be subject to the restrictions on transferability set forth in Section 14(b)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4.1 hereof, the Option may not be sold, pledged, assigned or transferred in any manner other than by will or the laws of descent and distribution or, subject to the consent of the Administrator,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lifetime of the Participant, only the Participant may exercise the Option (or any portion thereof), or if permissible under Applicable Laws, by the Participant’s legal guardian or representative;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Participant’s will or under the then-applicable laws of descent and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Tax Consultation</w:t>
      </w:r>
      <w:r>
        <w:rPr>
          <w:rFonts w:ascii="Times New Roman;Times;Serif" w:hAnsi="Times New Roman;Times;Serif"/>
          <w:b w:val="false"/>
          <w:i w:val="false"/>
          <w:caps w:val="false"/>
          <w:smallCaps w:val="false"/>
          <w:sz w:val="20"/>
        </w:rPr>
        <w:t>. The Participant understands that the Participant may suffer adverse tax consequences as a result of the grant, vesting or exercise of the Option, 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Subject to the limitation on the transferability of the Option contained herein, this Agreement will be binding upon and inure to the benefit of the heirs, legatees, legal representatives, successors and assigns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Adjustments Upon Specified Events</w:t>
      </w:r>
      <w:r>
        <w:rPr>
          <w:rFonts w:ascii="Times New Roman;Times;Serif" w:hAnsi="Times New Roman;Times;Serif"/>
          <w:b w:val="false"/>
          <w:i w:val="false"/>
          <w:caps w:val="false"/>
          <w:smallCaps w:val="false"/>
          <w:sz w:val="20"/>
        </w:rPr>
        <w:t>. The Administrator may accelerate the vesting of the Option in such circumstances as it, in its sole discretion, may determine. In addition, upon the occurrence of certain events relating to the Shares contemplated by Section 12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Section 12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Titles</w:t>
      </w:r>
      <w:r>
        <w:rPr>
          <w:rFonts w:ascii="Times New Roman;Times;Serif" w:hAnsi="Times New Roman;Times;Serif"/>
          <w:b w:val="false"/>
          <w:i w:val="false"/>
          <w:caps w:val="false"/>
          <w:smallCaps w:val="false"/>
          <w:sz w:val="20"/>
        </w:rPr>
        <w:t>. Titles are provided herein for convenience only and are not to serve as a basis for interpretation or construction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Conformity to Securities Laws</w:t>
      </w:r>
      <w:r>
        <w:rPr>
          <w:rFonts w:ascii="Times New Roman;Times;Serif" w:hAnsi="Times New Roman;Times;Serif"/>
          <w:b w:val="false"/>
          <w:i w:val="false"/>
          <w:caps w:val="false"/>
          <w:smallCaps w:val="false"/>
          <w:sz w:val="20"/>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Amendment, Suspension and Termination</w:t>
      </w:r>
      <w:r>
        <w:rPr>
          <w:rFonts w:ascii="Times New Roman;Times;Serif" w:hAnsi="Times New Roman;Times;Serif"/>
          <w:b w:val="false"/>
          <w:i w:val="false"/>
          <w:caps w:val="false"/>
          <w:smallCaps w:val="false"/>
          <w:sz w:val="20"/>
        </w:rPr>
        <w:t xml:space="preserve">. To the extent permitted by the Plan, this Agreement may be wholly or partially amended or otherwise modified, suspended or terminated at any time or from time to time by the Administrator or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except as may otherwise be provided by the Plan, no amendment, modification, suspension or termination of this Agreement shall materially and adversely affect the rights of the Participant with respect to the Option without the prior written consent of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Notification of Disposition</w:t>
      </w:r>
      <w:r>
        <w:rPr>
          <w:rFonts w:ascii="Times New Roman;Times;Serif" w:hAnsi="Times New Roman;Times;Serif"/>
          <w:b w:val="false"/>
          <w:i w:val="false"/>
          <w:caps w:val="false"/>
          <w:smallCaps w:val="false"/>
          <w:sz w:val="20"/>
        </w:rPr>
        <w:t>. If this Option is designated as an Incentive Stock Option, the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Limitations Applicable to Section 16 Persons</w:t>
      </w:r>
      <w:r>
        <w:rPr>
          <w:rFonts w:ascii="Times New Roman;Times;Serif" w:hAnsi="Times New Roman;Times;Serif"/>
          <w:b w:val="false"/>
          <w:i w:val="false"/>
          <w:caps w:val="false"/>
          <w:smallCaps w:val="false"/>
          <w:sz w:val="20"/>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Not a Contract of Service Relationship</w:t>
      </w:r>
      <w:r>
        <w:rPr>
          <w:rFonts w:ascii="Times New Roman;Times;Serif" w:hAnsi="Times New Roman;Times;Serif"/>
          <w:b w:val="false"/>
          <w:i w:val="false"/>
          <w:caps w:val="false"/>
          <w:smallCaps w:val="false"/>
          <w:sz w:val="20"/>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Plan, the Grant Notice and this Agreement constitute the entire agreement of the parties and supersede in their entirety all prior undertakings and agreements of the Company and the Participant with respect to the subject matter hereof, provided that the Option shall be subject to any accelerated vesting provisions in any written agreement between the Participant and the Company or a Company plan pursuant to which the Participant participates, in each case, in accordance with the terms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Limitation on the Participant’s Rights</w:t>
      </w:r>
      <w:r>
        <w:rPr>
          <w:rFonts w:ascii="Times New Roman;Times;Serif" w:hAnsi="Times New Roman;Times;Serif"/>
          <w:b w:val="false"/>
          <w:i w:val="false"/>
          <w:caps w:val="false"/>
          <w:smallCaps w:val="false"/>
          <w:sz w:val="20"/>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Data Privacy</w:t>
      </w:r>
      <w:r>
        <w:rPr>
          <w:rFonts w:ascii="Times New Roman;Times;Serif" w:hAnsi="Times New Roman;Times;Serif"/>
          <w:b w:val="false"/>
          <w:i w:val="false"/>
          <w:caps w:val="false"/>
          <w:smallCaps w:val="false"/>
          <w:sz w:val="20"/>
        </w:rPr>
        <w:t>. The Company and/or its Affiliates will hold, collect and otherwise process certain personal data regarding the Participant in connection with the administration of this Award and the Plan. All personal data will be treated in accordance with applicable data protection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A-8</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183124ex5-1_tigoenergy.htm"/>
      <w:bookmarkStart w:id="25" w:name="ksea183124ex51_tigoenergy"/>
      <w:bookmarkEnd w:id="24"/>
      <w:bookmarkEnd w:id="25"/>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704975" cy="1123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8"/>
                    <a:stretch>
                      <a:fillRect/>
                    </a:stretch>
                  </pic:blipFill>
                  <pic:spPr bwMode="auto">
                    <a:xfrm>
                      <a:off x="0" y="0"/>
                      <a:ext cx="1704975" cy="1123950"/>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Tigo Energy, Inc.</w:t>
        <w:br/>
        <w:t>655 Campbell Technology Parkway, Suite 150</w:t>
        <w:br/>
        <w:t>Campbell,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 Tigo Energy, Inc. - Registration Statement on Form S-8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New York counsel to Tigo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by the Company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on the date hereof, relating to the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(i) the offer and sale of 1,507,407 shares (the “</w:t>
      </w:r>
      <w:r>
        <w:rPr>
          <w:rFonts w:ascii="Times New Roman;Times;Serif" w:hAnsi="Times New Roman;Times;Serif"/>
          <w:b w:val="false"/>
          <w:i w:val="false"/>
          <w:caps w:val="false"/>
          <w:smallCaps w:val="false"/>
          <w:sz w:val="20"/>
          <w:u w:val="single"/>
        </w:rPr>
        <w:t>Legacy Tigo 2008 Plan Shares</w:t>
      </w:r>
      <w:r>
        <w:rPr>
          <w:rFonts w:ascii="Times New Roman;Times;Serif" w:hAnsi="Times New Roman;Times;Serif"/>
          <w:b w:val="false"/>
          <w:i w:val="false"/>
          <w:caps w:val="false"/>
          <w:smallCaps w:val="false"/>
          <w:sz w:val="20"/>
        </w:rPr>
        <w:t>”) of common stock, par value $0.0001 (the “Common Stock”), of the Company underlying certain outstanding stock options previously granted under the Tigo Energy, Inc. 2008 Stock Plan (the “</w:t>
      </w:r>
      <w:r>
        <w:rPr>
          <w:rFonts w:ascii="Times New Roman;Times;Serif" w:hAnsi="Times New Roman;Times;Serif"/>
          <w:b w:val="false"/>
          <w:i w:val="false"/>
          <w:caps w:val="false"/>
          <w:smallCaps w:val="false"/>
          <w:sz w:val="20"/>
          <w:u w:val="single"/>
        </w:rPr>
        <w:t>Legacy Tigo 2008 Plan</w:t>
      </w:r>
      <w:r>
        <w:rPr>
          <w:rFonts w:ascii="Times New Roman;Times;Serif" w:hAnsi="Times New Roman;Times;Serif"/>
          <w:b w:val="false"/>
          <w:i w:val="false"/>
          <w:caps w:val="false"/>
          <w:smallCaps w:val="false"/>
          <w:sz w:val="20"/>
        </w:rPr>
        <w:t>”), (ii) the offer and sale of 2,814,375 shares (the “</w:t>
      </w:r>
      <w:r>
        <w:rPr>
          <w:rFonts w:ascii="Times New Roman;Times;Serif" w:hAnsi="Times New Roman;Times;Serif"/>
          <w:b w:val="false"/>
          <w:i w:val="false"/>
          <w:caps w:val="false"/>
          <w:smallCaps w:val="false"/>
          <w:sz w:val="20"/>
          <w:u w:val="single"/>
        </w:rPr>
        <w:t>Legacy Tigo 2018 Plan Shares</w:t>
      </w:r>
      <w:r>
        <w:rPr>
          <w:rFonts w:ascii="Times New Roman;Times;Serif" w:hAnsi="Times New Roman;Times;Serif"/>
          <w:b w:val="false"/>
          <w:i w:val="false"/>
          <w:caps w:val="false"/>
          <w:smallCaps w:val="false"/>
          <w:sz w:val="20"/>
        </w:rPr>
        <w:t>” and, together with the Legacy Tigo 2008 Plan Shares, the “</w:t>
      </w:r>
      <w:r>
        <w:rPr>
          <w:rFonts w:ascii="Times New Roman;Times;Serif" w:hAnsi="Times New Roman;Times;Serif"/>
          <w:b w:val="false"/>
          <w:i w:val="false"/>
          <w:caps w:val="false"/>
          <w:smallCaps w:val="false"/>
          <w:sz w:val="20"/>
          <w:u w:val="single"/>
        </w:rPr>
        <w:t>Legacy Tigo Plan Shares</w:t>
      </w:r>
      <w:r>
        <w:rPr>
          <w:rFonts w:ascii="Times New Roman;Times;Serif" w:hAnsi="Times New Roman;Times;Serif"/>
          <w:b w:val="false"/>
          <w:i w:val="false"/>
          <w:caps w:val="false"/>
          <w:smallCaps w:val="false"/>
          <w:sz w:val="20"/>
        </w:rPr>
        <w:t>”) of Common Stock underlying certain outstanding stock options previously granted under the Tigo Energy, Inc. Amended and Restated 2018 Stock Plan (the “</w:t>
      </w:r>
      <w:r>
        <w:rPr>
          <w:rFonts w:ascii="Times New Roman;Times;Serif" w:hAnsi="Times New Roman;Times;Serif"/>
          <w:b w:val="false"/>
          <w:i w:val="false"/>
          <w:caps w:val="false"/>
          <w:smallCaps w:val="false"/>
          <w:sz w:val="20"/>
          <w:u w:val="single"/>
        </w:rPr>
        <w:t>Legacy Tigo 2018 Plan</w:t>
      </w:r>
      <w:r>
        <w:rPr>
          <w:rFonts w:ascii="Times New Roman;Times;Serif" w:hAnsi="Times New Roman;Times;Serif"/>
          <w:b w:val="false"/>
          <w:i w:val="false"/>
          <w:caps w:val="false"/>
          <w:smallCaps w:val="false"/>
          <w:sz w:val="20"/>
        </w:rPr>
        <w:t>” and, together with the Legacy Tigo 2008 Plan, the “</w:t>
      </w:r>
      <w:r>
        <w:rPr>
          <w:rFonts w:ascii="Times New Roman;Times;Serif" w:hAnsi="Times New Roman;Times;Serif"/>
          <w:b w:val="false"/>
          <w:i w:val="false"/>
          <w:caps w:val="false"/>
          <w:smallCaps w:val="false"/>
          <w:sz w:val="20"/>
          <w:u w:val="single"/>
        </w:rPr>
        <w:t>Legacy Tigo Plans</w:t>
      </w:r>
      <w:r>
        <w:rPr>
          <w:rFonts w:ascii="Times New Roman;Times;Serif" w:hAnsi="Times New Roman;Times;Serif"/>
          <w:b w:val="false"/>
          <w:i w:val="false"/>
          <w:caps w:val="false"/>
          <w:smallCaps w:val="false"/>
          <w:sz w:val="20"/>
        </w:rPr>
        <w:t>”), (iii) the offer and sale of 6,758,722 shares (the “</w:t>
      </w:r>
      <w:r>
        <w:rPr>
          <w:rFonts w:ascii="Times New Roman;Times;Serif" w:hAnsi="Times New Roman;Times;Serif"/>
          <w:b w:val="false"/>
          <w:i w:val="false"/>
          <w:caps w:val="false"/>
          <w:smallCaps w:val="false"/>
          <w:sz w:val="20"/>
          <w:u w:val="single"/>
        </w:rPr>
        <w:t>New Tigo Plan Shares</w:t>
      </w:r>
      <w:r>
        <w:rPr>
          <w:rFonts w:ascii="Times New Roman;Times;Serif" w:hAnsi="Times New Roman;Times;Serif"/>
          <w:b w:val="false"/>
          <w:i w:val="false"/>
          <w:caps w:val="false"/>
          <w:smallCaps w:val="false"/>
          <w:sz w:val="20"/>
        </w:rPr>
        <w:t>”) of Common Stock reserved for issuance under the Tigo Energy, Inc. 2023 Incentive Plan (the “</w:t>
      </w:r>
      <w:r>
        <w:rPr>
          <w:rFonts w:ascii="Times New Roman;Times;Serif" w:hAnsi="Times New Roman;Times;Serif"/>
          <w:b w:val="false"/>
          <w:i w:val="false"/>
          <w:caps w:val="false"/>
          <w:smallCaps w:val="false"/>
          <w:sz w:val="20"/>
          <w:u w:val="single"/>
        </w:rPr>
        <w:t>New Tigo Plan</w:t>
      </w:r>
      <w:r>
        <w:rPr>
          <w:rFonts w:ascii="Times New Roman;Times;Serif" w:hAnsi="Times New Roman;Times;Serif"/>
          <w:b w:val="false"/>
          <w:i w:val="false"/>
          <w:caps w:val="false"/>
          <w:smallCaps w:val="false"/>
          <w:sz w:val="20"/>
        </w:rPr>
        <w:t>”) and (iv) the reoffer and resale of 2,153,883 shares of Common Stock (the “</w:t>
      </w:r>
      <w:r>
        <w:rPr>
          <w:rFonts w:ascii="Times New Roman;Times;Serif" w:hAnsi="Times New Roman;Times;Serif"/>
          <w:b w:val="false"/>
          <w:i w:val="false"/>
          <w:caps w:val="false"/>
          <w:smallCaps w:val="false"/>
          <w:sz w:val="20"/>
          <w:u w:val="single"/>
        </w:rPr>
        <w:t>Reoffer Prospectus Shares</w:t>
      </w:r>
      <w:r>
        <w:rPr>
          <w:rFonts w:ascii="Times New Roman;Times;Serif" w:hAnsi="Times New Roman;Times;Serif"/>
          <w:b w:val="false"/>
          <w:i w:val="false"/>
          <w:caps w:val="false"/>
          <w:smallCaps w:val="false"/>
          <w:sz w:val="20"/>
        </w:rPr>
        <w:t>”) previously granted to the selling security holders named in the reoffer prospectus that forms part of the Registration Statement pursuant to stock options granted under the Legacy Tigo 2008 Plan, Legacy Tigo 2018 Plan and the New Tigo Plan. We refer in this opinion letter to the Legacy Tigo Plan Shares, the New Tigo Plan Shares and the Reoffer Prospectus Shares collectively as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both"/>
              <w:rPr>
                <w:sz w:val="20"/>
              </w:rPr>
            </w:pPr>
            <w:r>
              <w:rPr>
                <w:sz w:val="20"/>
              </w:rPr>
              <w:t>(a)</w:t>
            </w:r>
          </w:p>
        </w:tc>
        <w:tc>
          <w:tcPr>
            <w:tcW w:w="9912" w:type="dxa"/>
            <w:tcBorders/>
            <w:vAlign w:val="center"/>
          </w:tcPr>
          <w:p>
            <w:pPr>
              <w:pStyle w:val="TableContents"/>
              <w:bidi w:val="0"/>
              <w:spacing w:before="0" w:after="283"/>
              <w:jc w:val="both"/>
              <w:rPr>
                <w:sz w:val="20"/>
              </w:rPr>
            </w:pPr>
            <w:r>
              <w:rPr>
                <w:sz w:val="20"/>
              </w:rPr>
              <w:t>the Registration Statement;</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both"/>
              <w:rPr/>
            </w:pPr>
            <w:r>
              <w:rPr/>
              <w:t> </w:t>
            </w:r>
          </w:p>
        </w:tc>
        <w:tc>
          <w:tcPr>
            <w:tcW w:w="991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both"/>
              <w:rPr>
                <w:sz w:val="20"/>
              </w:rPr>
            </w:pPr>
            <w:r>
              <w:rPr>
                <w:sz w:val="20"/>
              </w:rPr>
              <w:t>(b)</w:t>
            </w:r>
          </w:p>
        </w:tc>
        <w:tc>
          <w:tcPr>
            <w:tcW w:w="9912" w:type="dxa"/>
            <w:tcBorders/>
            <w:vAlign w:val="center"/>
          </w:tcPr>
          <w:p>
            <w:pPr>
              <w:pStyle w:val="TableContents"/>
              <w:bidi w:val="0"/>
              <w:spacing w:before="0" w:after="283"/>
              <w:jc w:val="both"/>
              <w:rPr>
                <w:sz w:val="20"/>
              </w:rPr>
            </w:pPr>
            <w:r>
              <w:rPr>
                <w:sz w:val="20"/>
              </w:rPr>
              <w:t>a copy of the Second Amended &amp; Restated Certificate of Incorporation of the Company, filed with the Secretary of State of the State of Delaware on May 23, 2023 and certified by the Secretary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both"/>
              <w:rPr>
                <w:sz w:val="20"/>
              </w:rPr>
            </w:pPr>
            <w:r>
              <w:rPr>
                <w:sz w:val="20"/>
              </w:rPr>
              <w:t>(c)</w:t>
            </w:r>
          </w:p>
        </w:tc>
        <w:tc>
          <w:tcPr>
            <w:tcW w:w="9894" w:type="dxa"/>
            <w:tcBorders/>
            <w:vAlign w:val="center"/>
          </w:tcPr>
          <w:p>
            <w:pPr>
              <w:pStyle w:val="TableContents"/>
              <w:bidi w:val="0"/>
              <w:spacing w:before="0" w:after="283"/>
              <w:jc w:val="both"/>
              <w:rPr>
                <w:sz w:val="20"/>
              </w:rPr>
            </w:pPr>
            <w:r>
              <w:rPr>
                <w:sz w:val="20"/>
              </w:rPr>
              <w:t>a copy of the Bylaws of the Company as in effect on May 23, 2023, certified by the Secretary of the Company;</w:t>
            </w:r>
          </w:p>
        </w:tc>
      </w:tr>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both"/>
              <w:rPr/>
            </w:pPr>
            <w:r>
              <w:rPr/>
              <w:t> </w:t>
            </w:r>
          </w:p>
        </w:tc>
        <w:tc>
          <w:tcPr>
            <w:tcW w:w="98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36" w:type="dxa"/>
            <w:tcBorders/>
            <w:vAlign w:val="center"/>
          </w:tcPr>
          <w:p>
            <w:pPr>
              <w:pStyle w:val="TableContents"/>
              <w:bidi w:val="0"/>
              <w:spacing w:before="0" w:after="283"/>
              <w:jc w:val="both"/>
              <w:rPr>
                <w:sz w:val="20"/>
              </w:rPr>
            </w:pPr>
            <w:r>
              <w:rPr>
                <w:sz w:val="20"/>
              </w:rPr>
              <w:t>(d)</w:t>
            </w:r>
          </w:p>
        </w:tc>
        <w:tc>
          <w:tcPr>
            <w:tcW w:w="9894" w:type="dxa"/>
            <w:tcBorders/>
            <w:vAlign w:val="center"/>
          </w:tcPr>
          <w:p>
            <w:pPr>
              <w:pStyle w:val="TableContents"/>
              <w:bidi w:val="0"/>
              <w:spacing w:before="0" w:after="283"/>
              <w:jc w:val="both"/>
              <w:rPr>
                <w:sz w:val="20"/>
              </w:rPr>
            </w:pPr>
            <w:r>
              <w:rPr>
                <w:sz w:val="20"/>
              </w:rPr>
              <w:t>a copy of the resolutions of the board of directors of the Company relating to, among other matters, the filing of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230"/>
        <w:gridCol w:w="19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(e)</w:t>
            </w:r>
          </w:p>
        </w:tc>
        <w:tc>
          <w:tcPr>
            <w:tcW w:w="1910" w:type="dxa"/>
            <w:tcBorders/>
            <w:vAlign w:val="center"/>
          </w:tcPr>
          <w:p>
            <w:pPr>
              <w:pStyle w:val="TableContents"/>
              <w:bidi w:val="0"/>
              <w:spacing w:before="0" w:after="283"/>
              <w:jc w:val="both"/>
              <w:rPr>
                <w:sz w:val="20"/>
              </w:rPr>
            </w:pPr>
            <w:r>
              <w:rPr>
                <w:sz w:val="20"/>
              </w:rPr>
              <w:t>the Legacy Tigo Plans;</w:t>
            </w:r>
          </w:p>
        </w:tc>
      </w:tr>
    </w:tbl>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sz w:val="20"/>
              </w:rPr>
            </w:pPr>
            <w:r>
              <w:rPr>
                <w:sz w:val="20"/>
              </w:rPr>
              <w:t>(f)</w:t>
            </w:r>
          </w:p>
        </w:tc>
        <w:tc>
          <w:tcPr>
            <w:tcW w:w="1640" w:type="dxa"/>
            <w:tcBorders/>
            <w:vAlign w:val="center"/>
          </w:tcPr>
          <w:p>
            <w:pPr>
              <w:pStyle w:val="TableContents"/>
              <w:bidi w:val="0"/>
              <w:spacing w:before="0" w:after="283"/>
              <w:jc w:val="both"/>
              <w:rPr>
                <w:sz w:val="20"/>
              </w:rPr>
            </w:pPr>
            <w:r>
              <w:rPr>
                <w:sz w:val="20"/>
              </w:rPr>
              <w:t xml:space="preserve">the New Tigo Plan;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both"/>
              <w:rPr/>
            </w:pPr>
            <w:r>
              <w:rPr/>
              <w:t>(g)</w:t>
            </w:r>
          </w:p>
        </w:tc>
        <w:tc>
          <w:tcPr>
            <w:tcW w:w="9843" w:type="dxa"/>
            <w:tcBorders/>
            <w:vAlign w:val="center"/>
          </w:tcPr>
          <w:p>
            <w:pPr>
              <w:pStyle w:val="TableContents"/>
              <w:bidi w:val="0"/>
              <w:spacing w:before="0" w:after="283"/>
              <w:jc w:val="both"/>
              <w:rPr/>
            </w:pPr>
            <w:r>
              <w:rPr/>
              <w:t xml:space="preserve">the forms of Restricted Share Award Grant and Share Option Award Grant under the Legacy Tigo Plans; </w:t>
            </w:r>
          </w:p>
        </w:tc>
      </w:tr>
      <w:tr>
        <w:trPr/>
        <w:tc>
          <w:tcPr>
            <w:tcW w:w="75"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both"/>
              <w:rPr/>
            </w:pPr>
            <w:r>
              <w:rPr/>
              <w:t> </w:t>
            </w:r>
          </w:p>
        </w:tc>
        <w:tc>
          <w:tcPr>
            <w:tcW w:w="9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(h)</w:t>
            </w:r>
          </w:p>
        </w:tc>
        <w:tc>
          <w:tcPr>
            <w:tcW w:w="9843" w:type="dxa"/>
            <w:tcBorders/>
            <w:vAlign w:val="center"/>
          </w:tcPr>
          <w:p>
            <w:pPr>
              <w:pStyle w:val="TableContents"/>
              <w:bidi w:val="0"/>
              <w:spacing w:before="0" w:after="283"/>
              <w:jc w:val="both"/>
              <w:rPr/>
            </w:pPr>
            <w:r>
              <w:rPr/>
              <w:t>the form of Stock Option Grant Notice under the New Tigo Plan;</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 </w:t>
            </w:r>
          </w:p>
        </w:tc>
        <w:tc>
          <w:tcPr>
            <w:tcW w:w="9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(i)</w:t>
            </w:r>
          </w:p>
        </w:tc>
        <w:tc>
          <w:tcPr>
            <w:tcW w:w="9843" w:type="dxa"/>
            <w:tcBorders/>
            <w:vAlign w:val="center"/>
          </w:tcPr>
          <w:p>
            <w:pPr>
              <w:pStyle w:val="TableContents"/>
              <w:bidi w:val="0"/>
              <w:spacing w:before="0" w:after="283"/>
              <w:jc w:val="both"/>
              <w:rPr/>
            </w:pPr>
            <w:r>
              <w:rPr/>
              <w:t xml:space="preserve">the form of Restricted Stock Unit Award Grant Notice under the New Tigo Plan;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 </w:t>
            </w:r>
          </w:p>
        </w:tc>
        <w:tc>
          <w:tcPr>
            <w:tcW w:w="9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(j)</w:t>
            </w:r>
          </w:p>
        </w:tc>
        <w:tc>
          <w:tcPr>
            <w:tcW w:w="9843" w:type="dxa"/>
            <w:tcBorders/>
            <w:vAlign w:val="center"/>
          </w:tcPr>
          <w:p>
            <w:pPr>
              <w:pStyle w:val="TableContents"/>
              <w:bidi w:val="0"/>
              <w:spacing w:before="0" w:after="283"/>
              <w:jc w:val="both"/>
              <w:rPr/>
            </w:pPr>
            <w:r>
              <w:rPr/>
              <w:t xml:space="preserve">the form of Non-Employee Director RSU Award Agreement under the New Tigo Plan;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 </w:t>
            </w:r>
          </w:p>
        </w:tc>
        <w:tc>
          <w:tcPr>
            <w:tcW w:w="9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(k)</w:t>
            </w:r>
          </w:p>
        </w:tc>
        <w:tc>
          <w:tcPr>
            <w:tcW w:w="9843" w:type="dxa"/>
            <w:tcBorders/>
            <w:vAlign w:val="center"/>
          </w:tcPr>
          <w:p>
            <w:pPr>
              <w:pStyle w:val="TableContents"/>
              <w:bidi w:val="0"/>
              <w:spacing w:before="0" w:after="283"/>
              <w:jc w:val="both"/>
              <w:rPr/>
            </w:pPr>
            <w:r>
              <w:rPr/>
              <w:t>the form of Stock Appreciation Right Award Agreement for China Grantees under the New Tigo Plan; and</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 </w:t>
            </w:r>
          </w:p>
        </w:tc>
        <w:tc>
          <w:tcPr>
            <w:tcW w:w="9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283"/>
              <w:jc w:val="both"/>
              <w:rPr/>
            </w:pPr>
            <w:r>
              <w:rPr/>
              <w:t>(l)</w:t>
            </w:r>
          </w:p>
        </w:tc>
        <w:tc>
          <w:tcPr>
            <w:tcW w:w="9843" w:type="dxa"/>
            <w:tcBorders/>
            <w:vAlign w:val="center"/>
          </w:tcPr>
          <w:p>
            <w:pPr>
              <w:pStyle w:val="TableContents"/>
              <w:bidi w:val="0"/>
              <w:spacing w:before="0" w:after="283"/>
              <w:jc w:val="both"/>
              <w:rPr/>
            </w:pPr>
            <w:r>
              <w:rPr/>
              <w:t>the form of Stock Option Grant Notice for Israeli Participants under the New Tigo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assumptions, and subject to the qualifications set forth in this opinion letter, having considered such questions of law as we have deemed necessary as a basis for the opinion expressed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both"/>
              <w:rPr/>
            </w:pPr>
            <w:r>
              <w:rPr/>
              <w:t>1.</w:t>
            </w:r>
          </w:p>
        </w:tc>
        <w:tc>
          <w:tcPr>
            <w:tcW w:w="9970" w:type="dxa"/>
            <w:tcBorders/>
            <w:vAlign w:val="center"/>
          </w:tcPr>
          <w:p>
            <w:pPr>
              <w:pStyle w:val="TableContents"/>
              <w:bidi w:val="0"/>
              <w:spacing w:before="0" w:after="283"/>
              <w:jc w:val="both"/>
              <w:rPr/>
            </w:pPr>
            <w:r>
              <w:rPr/>
              <w:t>the Legacy Tigo Plan Shares have been duly authorized for issuance and sale pursuant to the Legacy Tigo Plans by all necessary corporate action of the Company, and when issued as provided under the Legacy Tigo Plans,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both"/>
              <w:rPr/>
            </w:pPr>
            <w:r>
              <w:rPr/>
              <w:t>2.</w:t>
            </w:r>
          </w:p>
        </w:tc>
        <w:tc>
          <w:tcPr>
            <w:tcW w:w="9969" w:type="dxa"/>
            <w:tcBorders/>
            <w:vAlign w:val="center"/>
          </w:tcPr>
          <w:p>
            <w:pPr>
              <w:pStyle w:val="TableContents"/>
              <w:bidi w:val="0"/>
              <w:spacing w:before="0" w:after="283"/>
              <w:jc w:val="both"/>
              <w:rPr/>
            </w:pPr>
            <w:r>
              <w:rPr/>
              <w:t>the New Tigo Plan Shares have been duly authorized for issuance and sale pursuant to the New Tigo Plan by all necessary corporate action of the Company, and when issued as provided under the New Tigo Plan,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both"/>
              <w:rPr/>
            </w:pPr>
            <w:r>
              <w:rPr/>
              <w:t>3.</w:t>
            </w:r>
          </w:p>
        </w:tc>
        <w:tc>
          <w:tcPr>
            <w:tcW w:w="9934" w:type="dxa"/>
            <w:tcBorders/>
            <w:vAlign w:val="center"/>
          </w:tcPr>
          <w:p>
            <w:pPr>
              <w:pStyle w:val="TableContents"/>
              <w:bidi w:val="0"/>
              <w:spacing w:before="0" w:after="283"/>
              <w:jc w:val="both"/>
              <w:rPr/>
            </w:pPr>
            <w:r>
              <w:rPr/>
              <w:t>the Reoffer Prospectus Shares have been duly authorized and are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with the Commission as Exhibit 5.1 to the Registration Statement. In giving this consent, we do not hereby admit that we are 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75"/>
        <w:gridCol w:w="1790"/>
      </w:tblGrid>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sz w:val="20"/>
              </w:rPr>
            </w:pPr>
            <w:r>
              <w:rPr>
                <w:sz w:val="20"/>
              </w:rPr>
              <w:t xml:space="preserve">Very truly yours, </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White &amp; Case LLP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CJD; LKM; MA; BM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183124ex23-1_tigoenergy.htm"/>
      <w:bookmarkStart w:id="27" w:name="ksea183124ex231_tigoenergy"/>
      <w:bookmarkEnd w:id="26"/>
      <w:bookmarkEnd w:id="27"/>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Tigo Energy, Inc. on Form S-8 of our report dated March 31, 2023, which includes an explanatory paragraph as to Roth CH Acquisition IV Co.’s ability to continue as a going concern, with respect to our audits of the consolidated financial statements of Roth CH Acquisition IV Co. as of December 31, 2022 and 2021 and for the years then ended, which report appears in the Prospectus, which is part of this Registration Statement. We were dismissed as auditors on June 28, 2023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8" w:name="ea183124ex23-2_tigoenergy.htm"/>
      <w:bookmarkStart w:id="29" w:name="ksea183124ex232_tigoenergy"/>
      <w:bookmarkEnd w:id="28"/>
      <w:bookmarkEnd w:id="29"/>
      <w:r>
        <w:rPr>
          <w:rFonts w:ascii="Times New Roman;Times;Serif" w:hAnsi="Times New Roman;Times;Serif"/>
          <w:b/>
          <w:i w:val="false"/>
          <w:caps w:val="false"/>
          <w:smallCaps w:val="false"/>
          <w:sz w:val="20"/>
        </w:rPr>
        <w:t>Exhibit 23.2</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our report dated March 10, 2023, relating to the consolidated balance sheets of Tigo Energy, Inc. and Subsidiaries as of December 31, 2022 and 2021, and the related consolidated statements of operations, convertible preferred stock and changes in stockholders’ deficit and cash flows for the years then ended, appearing in Registration Statement No. 333-269095 on Amendment No. 3 to Form S-4. We also consent to the reference to our Firm under the caption “Experts” in the Registration Statement.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Frank, Rimerman + Co. 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0" w:name="ea183124ex-fee_tigoenergy.htm"/>
      <w:bookmarkStart w:id="31" w:name="ksea183124exfee_tigoenergy"/>
      <w:bookmarkEnd w:id="30"/>
      <w:bookmarkEnd w:id="31"/>
      <w:r>
        <w:rPr>
          <w:rFonts w:ascii="Times New Roman;Times;Serif" w:hAnsi="Times New Roman;Times;Serif"/>
          <w:b/>
          <w:i w:val="false"/>
          <w:caps w:val="false"/>
          <w:smallCaps w:val="false"/>
          <w:sz w:val="20"/>
        </w:rPr>
        <w:t>Exhibit 107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Filing Fee Tables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S-8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Tigo Energy,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0505" w:type="dxa"/>
        <w:jc w:val="left"/>
        <w:tblInd w:w="0" w:type="dxa"/>
        <w:tblLayout w:type="fixed"/>
        <w:tblCellMar>
          <w:top w:w="0" w:type="dxa"/>
          <w:left w:w="0" w:type="dxa"/>
          <w:bottom w:w="28" w:type="dxa"/>
          <w:right w:w="0" w:type="dxa"/>
        </w:tblCellMar>
      </w:tblPr>
      <w:tblGrid>
        <w:gridCol w:w="740"/>
        <w:gridCol w:w="60"/>
        <w:gridCol w:w="905"/>
        <w:gridCol w:w="60"/>
        <w:gridCol w:w="1190"/>
        <w:gridCol w:w="215"/>
        <w:gridCol w:w="95"/>
        <w:gridCol w:w="60"/>
        <w:gridCol w:w="67"/>
        <w:gridCol w:w="1108"/>
        <w:gridCol w:w="215"/>
        <w:gridCol w:w="60"/>
        <w:gridCol w:w="214"/>
        <w:gridCol w:w="856"/>
        <w:gridCol w:w="60"/>
        <w:gridCol w:w="60"/>
        <w:gridCol w:w="140"/>
        <w:gridCol w:w="1520"/>
        <w:gridCol w:w="60"/>
        <w:gridCol w:w="60"/>
        <w:gridCol w:w="140"/>
        <w:gridCol w:w="1160"/>
        <w:gridCol w:w="60"/>
        <w:gridCol w:w="60"/>
        <w:gridCol w:w="158"/>
        <w:gridCol w:w="1107"/>
        <w:gridCol w:w="75"/>
      </w:tblGrid>
      <w:tr>
        <w:trPr/>
        <w:tc>
          <w:tcPr>
            <w:tcW w:w="74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w:t>
            </w:r>
          </w:p>
        </w:tc>
        <w:tc>
          <w:tcPr>
            <w:tcW w:w="60" w:type="dxa"/>
            <w:tcBorders/>
            <w:tcMar>
              <w:bottom w:w="0" w:type="dxa"/>
            </w:tcMar>
            <w:vAlign w:val="center"/>
          </w:tcPr>
          <w:p>
            <w:pPr>
              <w:pStyle w:val="TableContents"/>
              <w:bidi w:val="0"/>
              <w:spacing w:before="0" w:after="283"/>
              <w:jc w:val="center"/>
              <w:rPr/>
            </w:pPr>
            <w:r>
              <w:rPr/>
              <w:t> </w:t>
            </w:r>
          </w:p>
        </w:tc>
        <w:tc>
          <w:tcPr>
            <w:tcW w:w="905" w:type="dxa"/>
            <w:tcBorders>
              <w:bottom w:val="single" w:sz="12" w:space="0" w:color="000000"/>
            </w:tcBorders>
            <w:vAlign w:val="center"/>
          </w:tcPr>
          <w:p>
            <w:pPr>
              <w:pStyle w:val="TableContents"/>
              <w:bidi w:val="0"/>
              <w:spacing w:before="0" w:after="283"/>
              <w:jc w:val="center"/>
              <w:rPr>
                <w:b/>
              </w:rPr>
            </w:pPr>
            <w:r>
              <w:rPr>
                <w:b/>
              </w:rPr>
              <w:t>Security</w:t>
              <w:br/>
              <w:t>Class Title</w:t>
            </w:r>
          </w:p>
        </w:tc>
        <w:tc>
          <w:tcPr>
            <w:tcW w:w="60" w:type="dxa"/>
            <w:tcBorders/>
            <w:tcMar>
              <w:bottom w:w="0" w:type="dxa"/>
            </w:tcMar>
            <w:vAlign w:val="center"/>
          </w:tcPr>
          <w:p>
            <w:pPr>
              <w:pStyle w:val="TableContents"/>
              <w:bidi w:val="0"/>
              <w:spacing w:before="0" w:after="283"/>
              <w:jc w:val="center"/>
              <w:rPr/>
            </w:pPr>
            <w:r>
              <w:rPr/>
              <w:t> </w:t>
            </w:r>
          </w:p>
        </w:tc>
        <w:tc>
          <w:tcPr>
            <w:tcW w:w="1190" w:type="dxa"/>
            <w:tcBorders>
              <w:bottom w:val="single" w:sz="12" w:space="0" w:color="000000"/>
            </w:tcBorders>
            <w:vAlign w:val="center"/>
          </w:tcPr>
          <w:p>
            <w:pPr>
              <w:pStyle w:val="TableContents"/>
              <w:bidi w:val="0"/>
              <w:spacing w:before="0" w:after="283"/>
              <w:jc w:val="center"/>
              <w:rPr>
                <w:b/>
              </w:rPr>
            </w:pPr>
            <w:r>
              <w:rPr>
                <w:b/>
              </w:rPr>
              <w:t>Fee</w:t>
              <w:br/>
              <w:t>Calculation</w:t>
              <w:br/>
              <w:t>Rule</w:t>
            </w:r>
          </w:p>
        </w:tc>
        <w:tc>
          <w:tcPr>
            <w:tcW w:w="215"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Amount</w:t>
              <w:br/>
              <w:t>Registered(1)</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Proposed</w:t>
              <w:br/>
              <w:t>Maximum</w:t>
              <w:br/>
              <w:t>Offering</w:t>
              <w:br/>
              <w:t>Price per</w:t>
              <w:br/>
              <w:t>Unit(2)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60" w:type="dxa"/>
            <w:gridSpan w:val="2"/>
            <w:tcBorders>
              <w:bottom w:val="single" w:sz="12" w:space="0" w:color="000000"/>
            </w:tcBorders>
            <w:vAlign w:val="center"/>
          </w:tcPr>
          <w:p>
            <w:pPr>
              <w:pStyle w:val="TableContents"/>
              <w:bidi w:val="0"/>
              <w:spacing w:before="0" w:after="283"/>
              <w:jc w:val="center"/>
              <w:rPr>
                <w:b/>
              </w:rPr>
            </w:pPr>
            <w:r>
              <w:rPr>
                <w:b/>
              </w:rPr>
              <w:t>Maximum</w:t>
              <w:br/>
              <w:t>Aggregate</w:t>
              <w:br/>
              <w:t>Offering Price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Fee Rate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65" w:type="dxa"/>
            <w:gridSpan w:val="2"/>
            <w:tcBorders>
              <w:bottom w:val="single" w:sz="12" w:space="0" w:color="000000"/>
            </w:tcBorders>
            <w:vAlign w:val="center"/>
          </w:tcPr>
          <w:p>
            <w:pPr>
              <w:pStyle w:val="TableContents"/>
              <w:bidi w:val="0"/>
              <w:spacing w:before="0" w:after="283"/>
              <w:jc w:val="center"/>
              <w:rPr>
                <w:b/>
              </w:rPr>
            </w:pPr>
            <w:r>
              <w:rPr>
                <w:b/>
              </w:rPr>
              <w:t>Amount of</w:t>
              <w:br/>
              <w:t>Registration</w:t>
              <w:br/>
              <w:t>Fee</w:t>
            </w:r>
          </w:p>
        </w:tc>
        <w:tc>
          <w:tcPr>
            <w:tcW w:w="75" w:type="dxa"/>
            <w:tcBorders/>
            <w:tcMar>
              <w:bottom w:w="0" w:type="dxa"/>
            </w:tcMar>
            <w:vAlign w:val="center"/>
          </w:tcPr>
          <w:p>
            <w:pPr>
              <w:pStyle w:val="TableContents"/>
              <w:bidi w:val="0"/>
              <w:spacing w:before="0" w:after="283"/>
              <w:jc w:val="center"/>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Common Stock, par value</w:t>
              <w:br/>
              <w:t>$0.0001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Other</w:t>
            </w:r>
          </w:p>
        </w:tc>
        <w:tc>
          <w:tcPr>
            <w:tcW w:w="215"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1,507,407</w:t>
            </w:r>
          </w:p>
        </w:tc>
        <w:tc>
          <w:tcPr>
            <w:tcW w:w="215"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18.71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28,203,584.97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0.00011020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7" w:type="dxa"/>
            <w:tcBorders/>
            <w:shd w:fill="CCEEFF" w:val="clear"/>
            <w:tcMar>
              <w:bottom w:w="0" w:type="dxa"/>
            </w:tcMar>
            <w:vAlign w:val="center"/>
          </w:tcPr>
          <w:p>
            <w:pPr>
              <w:pStyle w:val="TableContents"/>
              <w:bidi w:val="0"/>
              <w:spacing w:before="0" w:after="283"/>
              <w:jc w:val="right"/>
              <w:rPr/>
            </w:pPr>
            <w:r>
              <w:rPr/>
              <w:t>3,108.04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FFFFFF" w:val="clear"/>
            <w:tcMar>
              <w:bottom w:w="0" w:type="dxa"/>
            </w:tcMar>
            <w:vAlign w:val="center"/>
          </w:tcPr>
          <w:p>
            <w:pPr>
              <w:pStyle w:val="TableContents"/>
              <w:bidi w:val="0"/>
              <w:spacing w:before="0" w:after="283"/>
              <w:jc w:val="left"/>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Common Stock, par value</w:t>
              <w:br/>
              <w:t>$0.0001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Other</w:t>
            </w:r>
          </w:p>
        </w:tc>
        <w:tc>
          <w:tcPr>
            <w:tcW w:w="215"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8" w:type="dxa"/>
            <w:tcBorders/>
            <w:shd w:fill="FFFFFF" w:val="clear"/>
            <w:tcMar>
              <w:bottom w:w="0" w:type="dxa"/>
            </w:tcMar>
            <w:vAlign w:val="center"/>
          </w:tcPr>
          <w:p>
            <w:pPr>
              <w:pStyle w:val="TableContents"/>
              <w:bidi w:val="0"/>
              <w:spacing w:before="0" w:after="283"/>
              <w:jc w:val="right"/>
              <w:rPr/>
            </w:pPr>
            <w:r>
              <w:rPr/>
              <w:t>2,814,375</w:t>
            </w:r>
          </w:p>
        </w:tc>
        <w:tc>
          <w:tcPr>
            <w:tcW w:w="215"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18.71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52,656,956.25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0.00011020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w:t>
            </w:r>
          </w:p>
        </w:tc>
        <w:tc>
          <w:tcPr>
            <w:tcW w:w="1107" w:type="dxa"/>
            <w:tcBorders/>
            <w:shd w:fill="FFFFFF" w:val="clear"/>
            <w:tcMar>
              <w:bottom w:w="0" w:type="dxa"/>
            </w:tcMar>
            <w:vAlign w:val="center"/>
          </w:tcPr>
          <w:p>
            <w:pPr>
              <w:pStyle w:val="TableContents"/>
              <w:bidi w:val="0"/>
              <w:spacing w:before="0" w:after="283"/>
              <w:jc w:val="right"/>
              <w:rPr/>
            </w:pPr>
            <w:r>
              <w:rPr/>
              <w:t>5,802.80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40" w:type="dxa"/>
            <w:tcBorders/>
            <w:shd w:fill="CCEEFF" w:val="clear"/>
            <w:tcMar>
              <w:bottom w:w="0" w:type="dxa"/>
            </w:tcMar>
            <w:vAlign w:val="center"/>
          </w:tcPr>
          <w:p>
            <w:pPr>
              <w:pStyle w:val="TableContents"/>
              <w:bidi w:val="0"/>
              <w:spacing w:before="0" w:after="283"/>
              <w:jc w:val="left"/>
              <w:rPr/>
            </w:pPr>
            <w:r>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left"/>
              <w:rPr/>
            </w:pPr>
            <w:r>
              <w:rPr/>
              <w:t>Common Stock, par value</w:t>
              <w:br/>
              <w:t>$0.0001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Other</w:t>
            </w:r>
          </w:p>
        </w:tc>
        <w:tc>
          <w:tcPr>
            <w:tcW w:w="215" w:type="dxa"/>
            <w:tcBorders/>
            <w:shd w:fill="CCEEFF" w:val="clear"/>
            <w:tcMar>
              <w:bottom w:w="0" w:type="dxa"/>
            </w:tcM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108" w:type="dxa"/>
            <w:tcBorders/>
            <w:shd w:fill="CCEEFF" w:val="clear"/>
            <w:tcMar>
              <w:bottom w:w="0" w:type="dxa"/>
            </w:tcMar>
            <w:vAlign w:val="center"/>
          </w:tcPr>
          <w:p>
            <w:pPr>
              <w:pStyle w:val="TableContents"/>
              <w:bidi w:val="0"/>
              <w:spacing w:before="0" w:after="283"/>
              <w:jc w:val="right"/>
              <w:rPr/>
            </w:pPr>
            <w:r>
              <w:rPr/>
              <w:t>6,758,722</w:t>
            </w:r>
          </w:p>
        </w:tc>
        <w:tc>
          <w:tcPr>
            <w:tcW w:w="215" w:type="dxa"/>
            <w:tcBorders/>
            <w:shd w:fill="CCEEFF" w:val="clear"/>
            <w:tcMar>
              <w:bottom w:w="0" w:type="dxa"/>
            </w:tcMar>
            <w:vAlign w:val="center"/>
          </w:tcPr>
          <w:p>
            <w:pPr>
              <w:pStyle w:val="TableContents"/>
              <w:bidi w:val="0"/>
              <w:spacing w:before="0" w:after="283"/>
              <w:jc w:val="left"/>
              <w:rPr/>
            </w:pPr>
            <w:r>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18.71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126,455,688.62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0.00011020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7" w:type="dxa"/>
            <w:tcBorders/>
            <w:shd w:fill="CCEEFF" w:val="clear"/>
            <w:tcMar>
              <w:bottom w:w="0" w:type="dxa"/>
            </w:tcMar>
            <w:vAlign w:val="center"/>
          </w:tcPr>
          <w:p>
            <w:pPr>
              <w:pStyle w:val="TableContents"/>
              <w:bidi w:val="0"/>
              <w:spacing w:before="0" w:after="283"/>
              <w:jc w:val="right"/>
              <w:rPr/>
            </w:pPr>
            <w:r>
              <w:rPr/>
              <w:t>13,935.42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40" w:type="dxa"/>
            <w:tcBorders/>
            <w:shd w:fill="FFFFFF" w:val="clear"/>
            <w:tcMar>
              <w:bottom w:w="0" w:type="dxa"/>
            </w:tcMar>
            <w:vAlign w:val="center"/>
          </w:tcPr>
          <w:p>
            <w:pPr>
              <w:pStyle w:val="TableContents"/>
              <w:bidi w:val="0"/>
              <w:spacing w:before="0" w:after="283"/>
              <w:jc w:val="left"/>
              <w:rPr/>
            </w:pPr>
            <w:r>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left"/>
              <w:rPr/>
            </w:pPr>
            <w:r>
              <w:rPr/>
              <w:t>Common Stock, par value</w:t>
              <w:br/>
              <w:t>$0.0001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pPr>
            <w:r>
              <w:rPr/>
              <w:t>Other</w:t>
            </w:r>
          </w:p>
        </w:tc>
        <w:tc>
          <w:tcPr>
            <w:tcW w:w="215" w:type="dxa"/>
            <w:tcBorders/>
            <w:shd w:fill="FFFFFF" w:val="clear"/>
            <w:tcMar>
              <w:bottom w:w="0" w:type="dxa"/>
            </w:tcMar>
            <w:vAlign w:val="center"/>
          </w:tcPr>
          <w:p>
            <w:pPr>
              <w:pStyle w:val="TableContents"/>
              <w:bidi w:val="0"/>
              <w:spacing w:before="0" w:after="283"/>
              <w:jc w:val="right"/>
              <w:rPr/>
            </w:pPr>
            <w:r>
              <w:rPr/>
              <w:t>(2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108" w:type="dxa"/>
            <w:tcBorders/>
            <w:shd w:fill="FFFFFF" w:val="clear"/>
            <w:tcMar>
              <w:bottom w:w="0" w:type="dxa"/>
            </w:tcMar>
            <w:vAlign w:val="center"/>
          </w:tcPr>
          <w:p>
            <w:pPr>
              <w:pStyle w:val="TableContents"/>
              <w:bidi w:val="0"/>
              <w:spacing w:before="0" w:after="283"/>
              <w:jc w:val="right"/>
              <w:rPr/>
            </w:pPr>
            <w:r>
              <w:rPr/>
              <w:t>2,153,883</w:t>
            </w:r>
          </w:p>
        </w:tc>
        <w:tc>
          <w:tcPr>
            <w:tcW w:w="215" w:type="dxa"/>
            <w:tcBorders/>
            <w:shd w:fill="FFFFFF" w:val="clear"/>
            <w:tcMar>
              <w:bottom w:w="0" w:type="dxa"/>
            </w:tcMar>
            <w:vAlign w:val="center"/>
          </w:tcPr>
          <w:p>
            <w:pPr>
              <w:pStyle w:val="TableContents"/>
              <w:bidi w:val="0"/>
              <w:spacing w:before="0" w:after="283"/>
              <w:jc w:val="left"/>
              <w:rPr/>
            </w:pPr>
            <w:r>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18.71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520" w:type="dxa"/>
            <w:tcBorders/>
            <w:shd w:fill="FFFFFF" w:val="clear"/>
            <w:tcMar>
              <w:bottom w:w="0" w:type="dxa"/>
            </w:tcMar>
            <w:vAlign w:val="center"/>
          </w:tcPr>
          <w:p>
            <w:pPr>
              <w:pStyle w:val="TableContents"/>
              <w:bidi w:val="0"/>
              <w:spacing w:before="0" w:after="283"/>
              <w:jc w:val="right"/>
              <w:rPr/>
            </w:pPr>
            <w:r>
              <w:rPr/>
              <w:t>40,299,150.93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0.00011020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w:t>
            </w:r>
          </w:p>
        </w:tc>
        <w:tc>
          <w:tcPr>
            <w:tcW w:w="1107" w:type="dxa"/>
            <w:tcBorders/>
            <w:shd w:fill="FFFFFF" w:val="clear"/>
            <w:tcMar>
              <w:bottom w:w="0" w:type="dxa"/>
            </w:tcMar>
            <w:vAlign w:val="center"/>
          </w:tcPr>
          <w:p>
            <w:pPr>
              <w:pStyle w:val="TableContents"/>
              <w:bidi w:val="0"/>
              <w:spacing w:before="0" w:after="283"/>
              <w:jc w:val="right"/>
              <w:rPr/>
            </w:pPr>
            <w:r>
              <w:rPr/>
              <w:t>4,440.97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00" w:type="dxa"/>
            <w:gridSpan w:val="10"/>
            <w:tcBorders/>
            <w:shd w:fill="CCEEFF" w:val="clear"/>
            <w:tcMar>
              <w:bottom w:w="0" w:type="dxa"/>
            </w:tcMar>
            <w:vAlign w:val="center"/>
          </w:tcPr>
          <w:p>
            <w:pPr>
              <w:pStyle w:val="TableContents"/>
              <w:bidi w:val="0"/>
              <w:spacing w:before="0" w:after="283"/>
              <w:jc w:val="left"/>
              <w:rPr>
                <w:b/>
              </w:rPr>
            </w:pPr>
            <w:r>
              <w:rPr>
                <w:b/>
              </w:rPr>
              <w:t>Total Offering Amounts</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20" w:type="dxa"/>
            <w:tcBorders/>
            <w:shd w:fill="CCEEFF" w:val="clear"/>
            <w:tcMar>
              <w:bottom w:w="0" w:type="dxa"/>
            </w:tcMar>
            <w:vAlign w:val="center"/>
          </w:tcPr>
          <w:p>
            <w:pPr>
              <w:pStyle w:val="TableContents"/>
              <w:bidi w:val="0"/>
              <w:spacing w:before="0" w:after="283"/>
              <w:jc w:val="right"/>
              <w:rPr/>
            </w:pPr>
            <w:r>
              <w:rPr/>
              <w:t>247,615,380.77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0.00011020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single" w:sz="12" w:space="0" w:color="000000"/>
            </w:tcBorders>
            <w:shd w:fill="CCEEFF" w:val="clear"/>
            <w:vAlign w:val="center"/>
          </w:tcPr>
          <w:p>
            <w:pPr>
              <w:pStyle w:val="TableContents"/>
              <w:bidi w:val="0"/>
              <w:spacing w:before="0" w:after="283"/>
              <w:jc w:val="left"/>
              <w:rPr/>
            </w:pPr>
            <w:r>
              <w:rPr/>
              <w:t>$</w:t>
            </w:r>
          </w:p>
        </w:tc>
        <w:tc>
          <w:tcPr>
            <w:tcW w:w="1107" w:type="dxa"/>
            <w:tcBorders>
              <w:bottom w:val="single" w:sz="12" w:space="0" w:color="000000"/>
            </w:tcBorders>
            <w:shd w:fill="CCEEFF" w:val="clear"/>
            <w:vAlign w:val="center"/>
          </w:tcPr>
          <w:p>
            <w:pPr>
              <w:pStyle w:val="TableContents"/>
              <w:bidi w:val="0"/>
              <w:spacing w:before="0" w:after="283"/>
              <w:jc w:val="right"/>
              <w:rPr/>
            </w:pPr>
            <w:r>
              <w:rPr/>
              <w:t>27,287.21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00" w:type="dxa"/>
            <w:gridSpan w:val="10"/>
            <w:tcBorders/>
            <w:shd w:fill="FFFFFF" w:val="clear"/>
            <w:tcMar>
              <w:bottom w:w="0" w:type="dxa"/>
            </w:tcMar>
            <w:vAlign w:val="center"/>
          </w:tcPr>
          <w:p>
            <w:pPr>
              <w:pStyle w:val="TableContents"/>
              <w:bidi w:val="0"/>
              <w:spacing w:before="0" w:after="283"/>
              <w:jc w:val="left"/>
              <w:rPr>
                <w:b/>
              </w:rPr>
            </w:pPr>
            <w:r>
              <w:rPr>
                <w:b/>
              </w:rPr>
              <w:t>Total Fee Offsets</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bottom w:val="single" w:sz="12" w:space="0" w:color="000000"/>
            </w:tcBorders>
            <w:shd w:fill="FFFFFF" w:val="clear"/>
            <w:vAlign w:val="center"/>
          </w:tcPr>
          <w:p>
            <w:pPr>
              <w:pStyle w:val="TableContents"/>
              <w:bidi w:val="0"/>
              <w:spacing w:before="0" w:after="283"/>
              <w:jc w:val="left"/>
              <w:rPr/>
            </w:pPr>
            <w:r>
              <w:rPr/>
              <w:t> </w:t>
            </w:r>
          </w:p>
        </w:tc>
        <w:tc>
          <w:tcPr>
            <w:tcW w:w="1107" w:type="dxa"/>
            <w:tcBorders>
              <w:bottom w:val="single" w:sz="12"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00" w:type="dxa"/>
            <w:gridSpan w:val="10"/>
            <w:tcBorders/>
            <w:shd w:fill="CCEEFF" w:val="clear"/>
            <w:tcMar>
              <w:bottom w:w="0" w:type="dxa"/>
            </w:tcMar>
            <w:vAlign w:val="center"/>
          </w:tcPr>
          <w:p>
            <w:pPr>
              <w:pStyle w:val="TableContents"/>
              <w:bidi w:val="0"/>
              <w:spacing w:before="0" w:after="283"/>
              <w:jc w:val="left"/>
              <w:rPr>
                <w:b/>
              </w:rPr>
            </w:pPr>
            <w:r>
              <w:rPr>
                <w:b/>
              </w:rPr>
              <w:t>Net Fee Due</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bottom w:val="double" w:sz="10" w:space="0" w:color="000000"/>
            </w:tcBorders>
            <w:shd w:fill="CCEEFF" w:val="clear"/>
            <w:vAlign w:val="center"/>
          </w:tcPr>
          <w:p>
            <w:pPr>
              <w:pStyle w:val="TableContents"/>
              <w:bidi w:val="0"/>
              <w:spacing w:before="0" w:after="283"/>
              <w:jc w:val="left"/>
              <w:rPr/>
            </w:pPr>
            <w:r>
              <w:rPr/>
              <w:t>$</w:t>
            </w:r>
          </w:p>
        </w:tc>
        <w:tc>
          <w:tcPr>
            <w:tcW w:w="1107" w:type="dxa"/>
            <w:tcBorders>
              <w:bottom w:val="double" w:sz="10" w:space="0" w:color="000000"/>
            </w:tcBorders>
            <w:shd w:fill="CCEEFF" w:val="clear"/>
            <w:vAlign w:val="center"/>
          </w:tcPr>
          <w:p>
            <w:pPr>
              <w:pStyle w:val="TableContents"/>
              <w:bidi w:val="0"/>
              <w:spacing w:before="0" w:after="283"/>
              <w:jc w:val="right"/>
              <w:rPr/>
            </w:pPr>
            <w:r>
              <w:rPr/>
              <w:t>27,287.21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Pursuant to Rule 416(a) under the Securities Act of 1933, as amended (the “Securities Act”), this registration statement shall also cover any additional shares of common stock, par value $0.0001 per share (the “Common Stock”) of Tigo Energy, Inc. (the “Company” or the “Registrant”) that may become issuable under the terms of the: (i) Tigo Energy, Inc. 2008 Stock Plan (the “Legacy Tigo 2008 Plan”) (ii) the Tigo Energy, Inc. Amended and Restated 2018 Stock Plan (the “Legacy Tigo 2018 Plan” and, together with the Legacy Tigo 2008 Plan, the “Legacy Tigo Plans”); or (iii) the Tigo Energy, Inc. 2023 Incentive Plan (the “New Tigo Plan); and, as applicable, by reason of any share split, share dividend, recapitalization or other similar transaction effected without the Company’s receipt of consideration which results in an increase in the number of the outstanding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both"/>
              <w:rPr/>
            </w:pPr>
            <w:r>
              <w:rPr/>
              <w:t>(2)</w:t>
            </w:r>
          </w:p>
        </w:tc>
        <w:tc>
          <w:tcPr>
            <w:tcW w:w="9925" w:type="dxa"/>
            <w:tcBorders/>
            <w:vAlign w:val="center"/>
          </w:tcPr>
          <w:p>
            <w:pPr>
              <w:pStyle w:val="TableContents"/>
              <w:bidi w:val="0"/>
              <w:spacing w:before="0" w:after="283"/>
              <w:jc w:val="both"/>
              <w:rPr/>
            </w:pPr>
            <w:r>
              <w:rPr/>
              <w:t>Estimated solely for the purpose of calculating the registration fee pursuant to Rules 457(c) and (h) under the Securities Act, based upon the average of the high and low selling prices of the common stock on August 3, 2023, as reported on the 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both"/>
              <w:rPr/>
            </w:pPr>
            <w:r>
              <w:rPr/>
              <w:t>(3)</w:t>
            </w:r>
          </w:p>
        </w:tc>
        <w:tc>
          <w:tcPr>
            <w:tcW w:w="9896" w:type="dxa"/>
            <w:tcBorders/>
            <w:vAlign w:val="center"/>
          </w:tcPr>
          <w:p>
            <w:pPr>
              <w:pStyle w:val="TableContents"/>
              <w:bidi w:val="0"/>
              <w:spacing w:before="0" w:after="283"/>
              <w:jc w:val="both"/>
              <w:rPr/>
            </w:pPr>
            <w:r>
              <w:rPr/>
              <w:t>Represents shares of Common Stock underlying certain outstanding stock options previously granted under the Legacy Tigo 2008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both"/>
              <w:rPr/>
            </w:pPr>
            <w:r>
              <w:rPr/>
              <w:t>(4)</w:t>
            </w:r>
          </w:p>
        </w:tc>
        <w:tc>
          <w:tcPr>
            <w:tcW w:w="9896" w:type="dxa"/>
            <w:tcBorders/>
            <w:vAlign w:val="center"/>
          </w:tcPr>
          <w:p>
            <w:pPr>
              <w:pStyle w:val="TableContents"/>
              <w:bidi w:val="0"/>
              <w:spacing w:before="0" w:after="283"/>
              <w:jc w:val="both"/>
              <w:rPr/>
            </w:pPr>
            <w:r>
              <w:rPr/>
              <w:t>Represents shares of Common Stock underlying certain outstanding stock options previously granted under the Legacy Tigo 2018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both"/>
              <w:rPr/>
            </w:pPr>
            <w:r>
              <w:rPr/>
              <w:t>(5)</w:t>
            </w:r>
          </w:p>
        </w:tc>
        <w:tc>
          <w:tcPr>
            <w:tcW w:w="9883" w:type="dxa"/>
            <w:tcBorders/>
            <w:vAlign w:val="center"/>
          </w:tcPr>
          <w:p>
            <w:pPr>
              <w:pStyle w:val="TableContents"/>
              <w:bidi w:val="0"/>
              <w:spacing w:before="0" w:after="283"/>
              <w:jc w:val="both"/>
              <w:rPr/>
            </w:pPr>
            <w:r>
              <w:rPr/>
              <w:t>Represents shares of Common Stock reserved for issuance pursuant to future awards under the New Tigo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(6)</w:t>
            </w:r>
          </w:p>
        </w:tc>
        <w:tc>
          <w:tcPr>
            <w:tcW w:w="9915" w:type="dxa"/>
            <w:tcBorders/>
            <w:vAlign w:val="center"/>
          </w:tcPr>
          <w:p>
            <w:pPr>
              <w:pStyle w:val="TableContents"/>
              <w:bidi w:val="0"/>
              <w:spacing w:before="0" w:after="283"/>
              <w:jc w:val="both"/>
              <w:rPr/>
            </w:pPr>
            <w:r>
              <w:rPr/>
              <w:t>Represents shares of Common Stock previously granted under stock options under the Legacy Tigo Plans and New Tigo Plan, as applicable, the reoffer and resale of which are registered hereunder.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 – Fee Offset Claims and Sources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5447/000110465923050415/tm2232012-13_424b3.htm" TargetMode="External"/><Relationship Id="rId3" Type="http://schemas.openxmlformats.org/officeDocument/2006/relationships/hyperlink" Target="https://www.sec.gov/Archives/edgar/data/1855447/000141057823001113/rocg-20230331x10q.htm" TargetMode="External"/><Relationship Id="rId4" Type="http://schemas.openxmlformats.org/officeDocument/2006/relationships/hyperlink" Target="https://www.sec.gov/Archives/edgar/data/1855447/000110465923002832/tm233032d1_8k.htm" TargetMode="External"/><Relationship Id="rId5" Type="http://schemas.openxmlformats.org/officeDocument/2006/relationships/hyperlink" Target="https://www.sec.gov/Archives/edgar/data/1855447/000110465923020183/tm236569d1_8k.htm" TargetMode="External"/><Relationship Id="rId6" Type="http://schemas.openxmlformats.org/officeDocument/2006/relationships/hyperlink" Target="https://www.sec.gov/Archives/edgar/data/1855447/000110465923023313/tm237293d1_8k.htm" TargetMode="External"/><Relationship Id="rId7" Type="http://schemas.openxmlformats.org/officeDocument/2006/relationships/hyperlink" Target="http://www.sec.gov/Archives/edgar/data/1855447/000110465923063152/tm2316377d1_8k.htm" TargetMode="External"/><Relationship Id="rId8" Type="http://schemas.openxmlformats.org/officeDocument/2006/relationships/hyperlink" Target="http://www.sec.gov/Archives/edgar/data/1855447/000121390023044099/ea179362-8k_tigoenergy.htm" TargetMode="External"/><Relationship Id="rId9" Type="http://schemas.openxmlformats.org/officeDocument/2006/relationships/hyperlink" Target="http://www.sec.gov/Archives/edgar/data/1855447/000121390023048173/ea180186-8k_tigoenergy.htm" TargetMode="External"/><Relationship Id="rId10" Type="http://schemas.openxmlformats.org/officeDocument/2006/relationships/hyperlink" Target="http://www.sec.gov/Archives/edgar/data/1855447/000121390023053164/ea181195-8k_tigoenergy.htm" TargetMode="External"/><Relationship Id="rId11" Type="http://schemas.openxmlformats.org/officeDocument/2006/relationships/hyperlink" Target="http://www.sec.gov/Archives/edgar/data/1855447/000121390023050977/fs12023_tigoenergy.htm" TargetMode="External"/><Relationship Id="rId12" Type="http://schemas.openxmlformats.org/officeDocument/2006/relationships/hyperlink" Target="https://www.sec.gov/Archives/edgar/data/1855447/000110465923050415/tm2232012-13_424b3.htm" TargetMode="External"/><Relationship Id="rId13" Type="http://schemas.openxmlformats.org/officeDocument/2006/relationships/hyperlink" Target="https://www.sec.gov/Archives/edgar/data/1855447/000141057823001113/rocg-20230331x10q.htm" TargetMode="External"/><Relationship Id="rId14" Type="http://schemas.openxmlformats.org/officeDocument/2006/relationships/hyperlink" Target="https://www.sec.gov/Archives/edgar/data/1855447/000110465923002832/tm233032d1_8k.htm" TargetMode="External"/><Relationship Id="rId15" Type="http://schemas.openxmlformats.org/officeDocument/2006/relationships/hyperlink" Target="https://www.sec.gov/Archives/edgar/data/1855447/000110465923020183/tm236569d1_8k.htm" TargetMode="External"/><Relationship Id="rId16" Type="http://schemas.openxmlformats.org/officeDocument/2006/relationships/hyperlink" Target="https://www.sec.gov/Archives/edgar/data/1855447/000110465923023313/tm237293d1_8k.htm" TargetMode="External"/><Relationship Id="rId17" Type="http://schemas.openxmlformats.org/officeDocument/2006/relationships/hyperlink" Target="https://www.sec.gov/Archives/edgar/data/1855447/000110465923063152/tm2316377d1_8k.htm" TargetMode="External"/><Relationship Id="rId18" Type="http://schemas.openxmlformats.org/officeDocument/2006/relationships/hyperlink" Target="https://www.sec.gov/Archives/edgar/data/1855447/000121390023044099/ea179362-8k_tigoenergy.htm" TargetMode="External"/><Relationship Id="rId19" Type="http://schemas.openxmlformats.org/officeDocument/2006/relationships/hyperlink" Target="https://www.sec.gov/Archives/edgar/data/1855447/000121390023048173/ea180186-8k_tigoenergy.htm" TargetMode="External"/><Relationship Id="rId20" Type="http://schemas.openxmlformats.org/officeDocument/2006/relationships/hyperlink" Target="https://www.sec.gov/Archives/edgar/data/1855447/000121390023053164/ea181195-8k_tigoenergy.htm" TargetMode="External"/><Relationship Id="rId21" Type="http://schemas.openxmlformats.org/officeDocument/2006/relationships/hyperlink" Target="https://www.sec.gov/Archives/edgar/data/1855447/000121390023050977/fs12023_tigoenergy.htm" TargetMode="External"/><Relationship Id="rId22" Type="http://schemas.openxmlformats.org/officeDocument/2006/relationships/hyperlink" Target="https://www.sec.gov/Archives/edgar/data/1855447/000121390023044099/ea179362ex3-1_tigoenergy.htm" TargetMode="External"/><Relationship Id="rId23" Type="http://schemas.openxmlformats.org/officeDocument/2006/relationships/hyperlink" Target="https://www.sec.gov/Archives/edgar/data/1855447/000121390023044099/ea179362ex3-2_tigoenergy.htm" TargetMode="External"/><Relationship Id="rId24" Type="http://schemas.openxmlformats.org/officeDocument/2006/relationships/hyperlink" Target="https://www.sec.gov/Archives/edgar/data/1855447/000110465921103492/tm2112097d24_ex4-1.htm" TargetMode="External"/><Relationship Id="rId25" Type="http://schemas.openxmlformats.org/officeDocument/2006/relationships/hyperlink" Target="https://www.sec.gov/Archives/edgar/data/1855447/000110465922131415/rocg-20220930xex10d18.htm" TargetMode="External"/><Relationship Id="rId26" Type="http://schemas.openxmlformats.org/officeDocument/2006/relationships/hyperlink" Target="https://www.sec.gov/Archives/edgar/data/1855447/000110465922131415/rocg-20220930xex10d20.htm" TargetMode="External"/><Relationship Id="rId27" Type="http://schemas.openxmlformats.org/officeDocument/2006/relationships/hyperlink" Target="https://www.sec.gov/Archives/edgar/data/1855447/000121390023044099/ea179362ex10-4_tigoenergy.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33284</Words>
  <Characters>175189</Characters>
  <CharactersWithSpaces>208918</CharactersWithSpaces>
  <Paragraphs>2426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