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03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ROESCHLEIN BILL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00"/>
        <w:spacing w:after="0" w:line="320" w:lineRule="auto"/>
        <w:rPr>
          <w:sz w:val="20"/>
          <w:szCs w:val="20"/>
          <w:color w:val="auto"/>
        </w:rPr>
      </w:pPr>
      <w:r>
        <w:rPr>
          <w:rFonts w:ascii="Times New Roman" w:cs="Times New Roman" w:eastAsia="Times New Roman" w:hAnsi="Times New Roman"/>
          <w:sz w:val="17"/>
          <w:szCs w:val="17"/>
          <w:color w:val="0000FF"/>
        </w:rPr>
        <w:t>983 UNIVERSITY AVENUE SUITE 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TIGO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TYGO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03/17/2026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033"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800" w:type="dxa"/>
            <w:vAlign w:val="bottom"/>
            <w:gridSpan w:val="6"/>
          </w:tcPr>
          <w:p>
            <w:pPr>
              <w:jc w:val="center"/>
              <w:ind w:right="77"/>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LOS GATOS</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95032</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03/17/2026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87,442</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513,071</w:t>
            </w:r>
            <w:r>
              <w:rPr>
                <w:rFonts w:ascii="Times New Roman" w:cs="Times New Roman" w:eastAsia="Times New Roman" w:hAnsi="Times New Roman"/>
                <w:sz w:val="22"/>
                <w:szCs w:val="22"/>
                <w:color w:val="008000"/>
                <w:vertAlign w:val="superscript"/>
              </w:rPr>
              <w:t>(2)(3)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03/17/2026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45,642</w:t>
            </w:r>
            <w:r>
              <w:rPr>
                <w:rFonts w:ascii="Times New Roman" w:cs="Times New Roman" w:eastAsia="Times New Roman" w:hAnsi="Times New Roman"/>
                <w:sz w:val="22"/>
                <w:szCs w:val="22"/>
                <w:color w:val="008000"/>
                <w:w w:val="93"/>
                <w:vertAlign w:val="superscript"/>
              </w:rPr>
              <w:t>(4)</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4.14</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467,429</w:t>
            </w:r>
            <w:r>
              <w:rPr>
                <w:rFonts w:ascii="Times New Roman" w:cs="Times New Roman" w:eastAsia="Times New Roman" w:hAnsi="Times New Roman"/>
                <w:sz w:val="22"/>
                <w:szCs w:val="22"/>
                <w:color w:val="008000"/>
                <w:vertAlign w:val="superscript"/>
              </w:rPr>
              <w:t>(2)(3)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Common Stock were acquired upon a determination by the Company's Compensation Committee that the performance conditions had been met for the issuance of such shares pursuant to performance stock units ("PSUs") that were granted to the reporting person on September 16, 2024. The PSUs vest over a three-year period, with one-third of the PSUs eligible to vest each calendar year based on the achievement of performance goals for each of the calendar year periods ended December 31, 2025, 2026 and 2027 (each a "Performance Period"), subject to continued service through and including the first calendar day after the end of each such Performance Period. This amount represents the portion of the PSUs that vested following the first Performance Period, based upon the Company's achievement of the revenue and adjusted EBITDA performance goals for the year ended December 31, 2025.</w:t>
      </w:r>
    </w:p>
    <w:p>
      <w:pPr>
        <w:spacing w:after="0" w:line="26" w:lineRule="exact"/>
        <w:rPr>
          <w:rFonts w:ascii="Times New Roman" w:cs="Times New Roman" w:eastAsia="Times New Roman" w:hAnsi="Times New Roman"/>
          <w:sz w:val="13"/>
          <w:szCs w:val="13"/>
          <w:color w:val="008000"/>
        </w:rPr>
      </w:pPr>
    </w:p>
    <w:p>
      <w:pPr>
        <w:ind w:left="40" w:right="18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25,362 shares of Common Stock underlying RSUs granted to the reporting person on August 11, 2023 (the "August 2023 Grant Date"), 118,517 shares of Common Stock underlying RSUs granted to the reporting person on September 16, 2024 (the "September 2024 Grant Date"), and 192,366 shares of Common Stock underlying RSU's granted to the reporting person on August 1, 2025 (the "August 2025 Grant Date") in each case, pursuant to the Issuer's 2023 Incentive Plan. One-Third (1/3) of the RSUs initially granted to the reporting person on August 11, 2023 vested and were delivered to the reporting person on August 11, 2024, the first anniversary of the August 2023 Grant Date, and one-third of the RSUs subject to the grant shall vest and be deliverable to the reporting person on each of the second and third anniversaries of the August 2023 Grant Date, subject to continued service through each such vesting date.</w:t>
      </w:r>
    </w:p>
    <w:p>
      <w:pPr>
        <w:spacing w:after="0" w:line="26" w:lineRule="exact"/>
        <w:rPr>
          <w:rFonts w:ascii="Times New Roman" w:cs="Times New Roman" w:eastAsia="Times New Roman" w:hAnsi="Times New Roman"/>
          <w:sz w:val="13"/>
          <w:szCs w:val="13"/>
          <w:color w:val="008000"/>
        </w:rPr>
      </w:pPr>
    </w:p>
    <w:p>
      <w:pPr>
        <w:ind w:left="40" w:right="16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(Continuation of the Footnote (2)) One-Third (1/3) of the RSUs granted to the reporting person on September 16, 2024 shall vest, and an equal number of shares of Common Stock will be deliverable to the reporting person, on each of the first three anniversaries of the September 2024 Grant Date, subject to continued service through each such vesting date. One-Third (1/3) of the RSUs granted to the reporting person on August 1, 2025 shall vest, and an equal number of shares of Common Stock will be deliverable to the reporting person, on each of the first three anniversaries of the August 2025 Grant Date, subject to continued service through each such vesting date.</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withheld to cover the tax withholding obligations in connection with the settlement of the PSUs described in Footnote 1.</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Bill Roeschlein,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03/19/2026</w:t>
            </w: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03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76669" TargetMode="External"/><Relationship Id="rId14" Type="http://schemas.openxmlformats.org/officeDocument/2006/relationships/hyperlink" Target="http://www.sec.gov/cgi-bin/browse-edgar?action=getcompany&amp;CIK=00018554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2026-03-19T16:04:44Z</dcterms:created>
  <dcterms:modified xsi:type="dcterms:W3CDTF">2026-03-19T16:04:44Z</dcterms:modified>
</cp:coreProperties>
</file>