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Chang Yahui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20" w:lineRule="auto"/>
        <w:rPr>
          <w:sz w:val="20"/>
          <w:szCs w:val="20"/>
          <w:color w:val="auto"/>
        </w:rPr>
      </w:pPr>
      <w:r>
        <w:rPr>
          <w:rFonts w:ascii="Times New Roman" w:cs="Times New Roman" w:eastAsia="Times New Roman" w:hAnsi="Times New Roman"/>
          <w:sz w:val="17"/>
          <w:szCs w:val="17"/>
          <w:color w:val="0000FF"/>
        </w:rPr>
        <w:t>655 CAMPBELL TECHNOLOGY PKWY, STE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78,149</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222,149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August 1, 2025 (the "August 2025 Grant Date") pursuant to the Issuer's 2023 Incentive Plan. One-Third (1/3) of the RSUs shall vest, and an equal number of shares of Common Stock will be deliverable to the reporting person, on each of the first three anniversaries of the August 2025 Grant Date, subject to continued service through each such vesting date.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144,000 shares of Common Stock underlying restricted stock units ("RSUs") granted to the reporting person on November 11, 2024 (the "Grant Date") pursuant to the Issuer's 2023 Incentive Plan. One-Third (1/3) of the RSUs shall vest, and an equal number of shares of Common Stock will be deliverable to the reporting person, on each of the first three anniversaries of October 7, 2024, subject to continued service through each such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6736"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2025-08-05T11:55:51Z</dcterms:created>
  <dcterms:modified xsi:type="dcterms:W3CDTF">2025-08-05T11:55:51Z</dcterms:modified>
</cp:coreProperties>
</file>