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Manor Sagit</w:t>
              </w:r>
            </w:hyperlink>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TIGO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TYGO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18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655 CAMPBELL TECHNOLOGY PKWY,</w:t>
            </w:r>
          </w:p>
        </w:tc>
        <w:tc>
          <w:tcPr>
            <w:tcW w:w="2080" w:type="dxa"/>
            <w:vAlign w:val="bottom"/>
            <w:gridSpan w:val="3"/>
            <w:vMerge w:val="continue"/>
          </w:tcPr>
          <w:p>
            <w:pPr>
              <w:spacing w:after="0"/>
              <w:rPr>
                <w:sz w:val="11"/>
                <w:szCs w:val="11"/>
                <w:color w:val="auto"/>
              </w:rPr>
            </w:pPr>
          </w:p>
        </w:tc>
        <w:tc>
          <w:tcPr>
            <w:tcW w:w="18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STE 150</w:t>
            </w: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126,904</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353,530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May 20, 2025 pursuant to the Issuer's 2023 Incentive Plan. The RSUs will vest in full, and an equal number of shares of Common Stock will be deliverable to the reporting person, immediately prior to the Issuer's 2026 Annual Meeting of Stockholders, subject to continued service through such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9977" TargetMode="External"/><Relationship Id="rId14"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2025-05-20T20:29:48Z</dcterms:created>
  <dcterms:modified xsi:type="dcterms:W3CDTF">2025-05-20T20:29:48Z</dcterms:modified>
</cp:coreProperties>
</file>