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ALON ZVI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 Chairperson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06"/>
        <w:gridCol w:w="1310"/>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72,507</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w:t>
            </w:r>
            <w:r>
              <w:rPr>
                <w:rFonts w:ascii="Times;serif" w:hAnsi="Times;serif"/>
                <w:color w:val="008000"/>
                <w:position w:val="7"/>
                <w:sz w:val="16"/>
                <w:sz w:val="20"/>
                <w:shd w:fill="FFFFFF" w:val="clear"/>
              </w:rPr>
              <w:t>(1)</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1,238,866</w:t>
            </w:r>
            <w:r>
              <w:rPr>
                <w:rFonts w:ascii="Times;serif" w:hAnsi="Times;serif"/>
                <w:color w:val="008000"/>
                <w:position w:val="7"/>
                <w:sz w:val="16"/>
                <w:sz w:val="20"/>
                <w:shd w:fill="FFFFFF" w:val="clear"/>
              </w:rPr>
              <w:t>(2)(3)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sale price. The shares were sold in multiple transactions at prices ranging from $3.37 to $3.50.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57,971 shares of common stock, par value $0.0001 per share ("Common Stock") underlying restricted stock units ("RSUs") granted to the reporting person on August 11, 2023 (the "August 2023 Grant Date"), 222,220 shares of Common Stock underlying RSUs granted to the reporting person on September 16, 2024 (the "September 2024 Grant Date"), and 240,458 shares of Common Stock underlying RSU's granted to the reporting person on August 1, 2025 (the "August 2025 Grant Date") in each case, pursuant to the Issuer's 2023 Incentive Plan. One-Third (1/3) of the RSUs initially granted to the reporting person on August 11, 2023 vested and an equal number of shares of Common Stock were delivered to the reporting person on August 11, 2024 and August 11, 2025 and one-third of the RSUs subject to the grant shall vest and be deliverable to the reporting person on the third anniversary of the August 2023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 One-Third (1/3) of the RSUs granted to the reporting person on August 1, 2025 vested and an equal number of shares of Common Stock were delivered to the reporting person on August 1, 2025,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original Form 4 filed by the Reporting Person on June 5, 2026 (the "Original Form 4") to correct the number of shares of Common Stock disposed of by the Reporting Person. The Original Form 4 reported the disposition of 72,057 shares of Common Stock as a result of an inadvertent typographical error; the correct number of shares disposed of on June 4, 2026 was 72,507 shares of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4951"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990</Words>
  <Characters>5163</Characters>
  <CharactersWithSpaces>6082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