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Tian Jing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655 CAMPBELL TECHNOLOGY PARKWAY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CAMPBELL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TIGO ENERGY, INC.</w:t>
              </w:r>
            </w:hyperlink>
            <w:r>
              <w:rPr/>
              <w:t xml:space="preserve"> [ </w:t>
            </w:r>
            <w:r>
              <w:rPr>
                <w:rFonts w:ascii="Times;serif" w:hAnsi="Times;serif"/>
                <w:color w:val="0000FF"/>
                <w:sz w:val="24"/>
                <w:shd w:fill="FFFFFF" w:val="clear"/>
              </w:rPr>
              <w:t>TYGO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Growth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973"/>
        <w:gridCol w:w="454"/>
        <w:gridCol w:w="670"/>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12,567</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1.91</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276,645</w:t>
            </w:r>
            <w:r>
              <w:rPr>
                <w:rFonts w:ascii="Times;serif" w:hAnsi="Times;serif"/>
                <w:color w:val="008000"/>
                <w:position w:val="7"/>
                <w:sz w:val="16"/>
                <w:sz w:val="20"/>
                <w:shd w:fill="FFFFFF" w:val="clear"/>
              </w:rPr>
              <w:t>(2)(3)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par value $0.0001 per share ("Common Stock") withheld in an exempt disposition to the Issuer under Rule 16b-3(e) to satisfy tax withholding obligations of the reporting person arising out of the vesting of previously reported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14,492 shares of Common Stock underlying RSUs granted to the reporting person on August 11, 2023 (the "August 2023 Grant Date"), 47,516 shares of Common Stock underlying RSUs granted to the reporting person on September 16, 2024 (the "September 2024 Grant Date"), and 51,416 shares of Common Stock underlying RSU's granted to the reporting person on August 1, 2025 (the "August 2025 Grant Date"), in each case, pursuant to the Issuer's 2023 Incentive Plan. One-Third (1/3) of the RSUs initially granted to the reporting person on August 11, 2023 vested and an equal number of shares of Common Stock were delivered to the reporting person on August 11, 2024 and August 11, 2025 and one-third of the RSUs subject to the grant shall vest and be deliverable to the reporting person on the third anniversary of the August 2023 Grant Date, subject to continued service through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(Continuation of the Footnote (2)) One-Third (1/3) of the RSUs granted to the reporting person on September 16, 2024 vested and an equal number of shares of Common Stock were delivered to the reporting person on September 16, 2025, and one-third of the RSUs subject to the grant shall vest, and an equal number of shares of Common Stock will be deliverable to the reporting person, on each of the second and third anniversaries of the September 2024 Grant Date, subject to continued service through each such vesting date. One-Third (1/3) of the RSUs granted to the reporting person on August 1, 2025 vested and an equal number of shares of Common Stock were delivered to the reporting person on August 1, 2025, and one-third of the RSUs subject to the grant shall vest, and an equal number of shares of Common Stock will be deliverable to the reporting person, on each of the second and third anniversaries of the August 2025 Grant Date, subject to continued service through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Bill Roeschlein,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5342" TargetMode="External"/><Relationship Id="rId5" Type="http://schemas.openxmlformats.org/officeDocument/2006/relationships/hyperlink" Target="http://www.sec.gov/cgi-bin/browse-edgar?action=getcompany&amp;CIK=00018554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934</Words>
  <Characters>4918</Characters>
  <CharactersWithSpaces>5783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