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24,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983 University Avenue, Suite B,</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Los Gatos, California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95032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60" w:type="dxa"/>
            <w:vAlign w:val="bottom"/>
            <w:tcBorders>
              <w:top w:val="single" w:sz="8" w:color="CCEEFF"/>
            </w:tcBorders>
            <w:shd w:val="clear" w:color="auto" w:fill="CCEEFF"/>
          </w:tcPr>
          <w:p>
            <w:pPr>
              <w:spacing w:after="0"/>
              <w:rPr>
                <w:sz w:val="18"/>
                <w:szCs w:val="18"/>
                <w:color w:val="auto"/>
              </w:rPr>
            </w:pPr>
          </w:p>
        </w:tc>
        <w:tc>
          <w:tcPr>
            <w:tcW w:w="4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24, 2026, Tigo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certain institutional investors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pursuant to which the Company agreed to issue and sell, in a registered direct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an aggregate of 5,000,000 shares of the Company’s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purchase price of $3.00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gross proceeds from the Offering of $15 million, before deducting placement agent fee and estimated offering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are offered by the Company pursuant to an effective shelf registration statement on Form S-3 (File No. 333-282013) that was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September 9, 2024 and declared effective on September 17, 2024. A prospectus supplement and accompanying base prospectus describing the terms of the Offering has been filed with the SEC.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Offering is expected to take place on February 26, 2026, subject to customary closing conditions. The Company intends to use the net proceeds from the Offering for general corporate and working capital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Purchase Agreement, the Company has agreed to certain restrictions on the issuance and sale of its Common Stock during the 30-day period following the closing of the Offering. In addition, the Company has agreed not to effect or enter into an agreement to effect any issuance of Common Stock or Common Stock Equivalents (as defined in the Purchase Agreement) involving a Variable Rate Transaction (as defined in the Purchase Agreement) for six months after the closing date of the Offering. Each of the Company’s directors and officers agreed to enter into a lock-up agreement pursuant to which each have agreed, subject to certain exceptions set forth therein, not to dispose of or hedge any shares of common stock of the Company or securities convertible into or exchangeable for shares of common stock during the period from the date of such lock-up agreement until 30 days after the Closing Date (as defined in the Purchase Agreement).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agreements of the Company and the Investors and customary indemnification rights and obligations of the parties.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Craig-Hallum Capital Group LLC (“</w:t>
      </w:r>
      <w:r>
        <w:rPr>
          <w:rFonts w:ascii="Times New Roman" w:cs="Times New Roman" w:eastAsia="Times New Roman" w:hAnsi="Times New Roman"/>
          <w:sz w:val="18"/>
          <w:szCs w:val="18"/>
          <w:u w:val="single" w:color="auto"/>
          <w:color w:val="auto"/>
        </w:rPr>
        <w:t>Craig-Hallum</w:t>
      </w:r>
      <w:r>
        <w:rPr>
          <w:rFonts w:ascii="Times New Roman" w:cs="Times New Roman" w:eastAsia="Times New Roman" w:hAnsi="Times New Roman"/>
          <w:sz w:val="18"/>
          <w:szCs w:val="18"/>
          <w:color w:val="auto"/>
        </w:rPr>
        <w:t>”) served as placement agent for the offering. As compensation for such placement agent services, the Company has agreed to pay Craig-Hallum an aggregate cash fee equal to 4.5% of the gross proceeds received by the Company from the Offering and the reimbursement of up to $75,000 of legal and other expenses as actually incurred.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form of Purchase Agreement does not purport to be complete and are subject to, and qualified in its entirety by, the full text of the Purchase Agreement attached as Exhibit 10.1 to 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legal opinion and consent of White &amp; Case LLP relating to the validity of the issuance and sale of the Shares is attached as Exhibit 5.1 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24, 2026, the Company issued a press release announcing the pricing of the Offering. A copy of such press release is attached to this Current Report as Exhibit 99.1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contains certain “forward-looking statements” relating to the business of the Company and its subsidiaries, including statements regarding the timing and completion of the Offering. All statements, other than statements of historical fact, included herein are “forward-looking statements.” These forward-looking statements are often identified by the use of forward-looking terminology such as “believes,” “intends,” “expects,” or similar expressions, involving known and unknown risks and uncertainties. Although the Company believes that the expectations reflected in these forward-looking statements are reasonable, they do involve assumptions, risks and uncertainties, and these expectations may prove to be incorrect. Investing in our securities involves a high degree of risk. Before making an investment decision, you should carefully consider the risks, uncertainties and forward-looking statements described under “Risk Factors” in Item 1A of our Annual Report on Form 10-K for the year ended December 31, 2024 (Annual Report) and any subsequently filed quarterly reports on Form 10-Q and any Current Reports on Form 8-K. Investors should not place undue reliance on these forward-looking statements, which speak only as of the date of this press release.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actual results could differ materially from those anticipated in these forward-looking statements as a result of a variety of factors, including those discussed in the Company’s periodic reports that are filed with the Securities and Exchange Commission and available on its website at http://www.sec.gov. If any material risk was to occur, our business, financial condition or results of operations would likely suffer. In that event, the value of our securities could decline and you could lose part or all of your investment. Additional risks not presently known to us or that we currently deem immaterial may also impair our business operations. In addition, our past financial performance may not be a reliable indicator of future performance, and historical trends should not be used to anticipate results in the future. All forward-looking statements attributable to the Company or persons acting on its behalf are expressly qualified in their entirety by these factors. Other than as required under the securities laws, the Company does not assume a duty to update these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White &amp; Case LLP.</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 dated February 24, 2026, by and among Tigo Energy, Inc. and the purchasers thereto.</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0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White &amp; Case LLP (included in Exhibit 5.1).</w:t>
            </w:r>
          </w:p>
        </w:tc>
        <w:tc>
          <w:tcPr>
            <w:tcW w:w="602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the Company, February 24, 2026.</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1140" w:right="20" w:hanging="1132"/>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to this Exhibit omitted pursuant to Item 601(a)(5) of Regulation S-K. The Company agrees to furnish supplementally a copy of any omitted schedule or exhibit to the Securities and Exchange Commission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156845</wp:posOffset>
            </wp:positionV>
            <wp:extent cx="154305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050" cy="13716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 &amp; Case LLP</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609 Main Street</w:t>
            </w:r>
          </w:p>
        </w:tc>
        <w:tc>
          <w:tcPr>
            <w:tcW w:w="0" w:type="dxa"/>
            <w:vAlign w:val="bottom"/>
          </w:tcPr>
          <w:p>
            <w:pPr>
              <w:spacing w:after="0"/>
              <w:rPr>
                <w:sz w:val="1"/>
                <w:szCs w:val="1"/>
                <w:color w:val="auto"/>
              </w:rPr>
            </w:pPr>
          </w:p>
        </w:tc>
      </w:t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Tigo Energy, Inc.</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 77002</w:t>
            </w:r>
          </w:p>
        </w:tc>
        <w:tc>
          <w:tcPr>
            <w:tcW w:w="0" w:type="dxa"/>
            <w:vAlign w:val="bottom"/>
          </w:tcPr>
          <w:p>
            <w:pPr>
              <w:spacing w:after="0"/>
              <w:rPr>
                <w:sz w:val="1"/>
                <w:szCs w:val="1"/>
                <w:color w:val="auto"/>
              </w:rPr>
            </w:pPr>
          </w:p>
        </w:tc>
      </w:tr>
      <w:tr>
        <w:trPr>
          <w:trHeight w:val="22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983 University Avenue, Suite B</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(713) 496-9700</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Los Gatos, California 95032</w:t>
            </w:r>
          </w:p>
        </w:tc>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whitecase.com</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New York counsel to Tigo Energy, Inc., a corporation organized under the laws of Delaware (the “Company”), in connection with the issuance and sale of 5,000,000 shares of common stock, par value $0.0001 per share (the “Shares”), by the Company to certain accredited investors (each, an “Investor” and, collectively, the “Investors”). The Shares are included in a registration statement on Form S–3 (File No. 333-282013) under the Securities Act of 1933, as amended (the “Securities Act”), filed with the Securities and Exchange Commission (the “Commission”) on September 9, 2024 and declared effective on September 17, 2024, and are being offered pursuant to a base prospectus dated September 17, 2024 (the “Base Prospectus”) and a prospectus supplement dated February 24, 2026 filed with the Commission pursuant to Rule 424(b) under the Securities Act (together with the Base Prospectus, the “Prospectus”). The Shares are being sold by the Company pursuant to a Securities Purchase Agreement, dated February 24, 2026 (the “Purchase Agreement”), by and among the Company and the Investors party thereto.</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other than as expressly stated herein with respect to the issuance of the Shares. 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187"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Second Amended and Restated Certificate of Incorporation, dated May 23, 2023, filed as Exhibit 3.1 to the Company’s Quarterly Report on Form 10-Q for the quarterly period ended September 30, 2025 (the “Company’s Q3 2025 Form 10-Q”);</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Amended and Restated Bylaws, as in effect on May 23, 2023, filed as Exhibit 3.2 to the Company’s Q3 2025 Form 10-Q;</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Company’s board of directors (the “Board”) adopted on February 24, 2026;</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date hereof of the Secretary of the Company, certifying as to the name, title and incumbency of officers of the Company signing the Purchase Agreement or other documents in connection therewith;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Delaware Secretary of State dated February 26, 2026 certifying the good standing of the Company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 In addition, in rendering the opinions expressed below, we have assumed that the Shares will be executed and countersigned by the transfer agent or registrar therefor and issued by the Company as contemplated in the Registration Statement.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 the Shares, when issued and delivered by the Company pursuant to the Purchase Agreement against the payment of the consideration set forth in the Purchase Agreement, will be validly issued, fully paid and nonassessable.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Delaware General Corporation Law. We do not express any opinion as to the laws of any other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Shares pursuant to the Registration Statement and is not to be relied upon for any other purpose.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dated February 26, 2026 and its incorporation by reference into the Registration Statement and to the reference to our firm as counsel for the Company under the caption “Legal Matters” in the Prospectus. In giving this consent, we do not thereby admit that we are within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LKM : BM : DQ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26, 2026, between Tigo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(or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White &amp; Case LLP, with offices located at 609 Main Street, Suite 2900, Houston, TX 77002.</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and officers of the Company,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$3.00, subject to adjustment for reverse and forward stock splits, stock dividends, stock combinations and other similar transactions of the Common Stock that occur after the date of this Agreement, provided that the purchase price per Pre-Funded Warrant shall be the Per Share Purchase Price minus $0.0001.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Craig-Hallum Capital Group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333-282013 which registers the sale of the Shares, the Pre-Funded Warrants and the Pre-Funded Warrant Shares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Pre-Funded Warrants and the Pre-Funded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Pre-Funded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Lock-Up Agreement, the Pre-Funded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up to an aggregate of $15,000,000.00 of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Each Purchaser’s Subscription Amount as set forth on the signature page hereto executed by such Purchaser shall be made available for “Delivery Versus Payment” settlement with the Company or its designee. The Company shall deliver to each Purchaser its respective Shares and Pre-Funded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in a form reasonably acceptable to the Placement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6" w:lineRule="exact"/>
        <w:rPr>
          <w:rFonts w:ascii="Times New Roman" w:cs="Times New Roman" w:eastAsia="Times New Roman" w:hAnsi="Times New Roman"/>
          <w:sz w:val="18"/>
          <w:szCs w:val="18"/>
          <w:color w:val="auto"/>
        </w:rPr>
      </w:pPr>
    </w:p>
    <w:p>
      <w:pPr>
        <w:ind w:left="1300" w:firstLine="652"/>
        <w:spacing w:after="0" w:line="282" w:lineRule="auto"/>
        <w:tabs>
          <w:tab w:leader="none" w:pos="22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(minus the number of shares of Common Stock issuable upon exercise of such Purchaser’s Pre-Funded Warrant, if applicable), registered in the name of such Purchaser;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640" w:firstLine="652"/>
        <w:spacing w:after="0" w:line="261" w:lineRule="auto"/>
        <w:tabs>
          <w:tab w:leader="none" w:pos="156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shares of Common Stock equal to the portion of such Purchaser’s Subscription Amount applicable to Pre-Funded Warrant divided by the Per Share Purchase Price minus $0.0001, with an exercise price equal to $0.0001, subject to adjustment therein;</w:t>
      </w:r>
    </w:p>
    <w:p>
      <w:pPr>
        <w:spacing w:after="0" w:line="179"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 executed Lock-Up Agreements; and</w:t>
      </w:r>
    </w:p>
    <w:p>
      <w:pPr>
        <w:spacing w:after="0" w:line="225" w:lineRule="exact"/>
        <w:rPr>
          <w:rFonts w:ascii="Times New Roman" w:cs="Times New Roman" w:eastAsia="Times New Roman" w:hAnsi="Times New Roman"/>
          <w:sz w:val="18"/>
          <w:szCs w:val="18"/>
          <w:color w:val="auto"/>
        </w:rPr>
      </w:pPr>
    </w:p>
    <w:p>
      <w:pPr>
        <w:ind w:left="1640" w:hanging="348"/>
        <w:spacing w:after="0"/>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6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0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61" w:lineRule="auto"/>
        <w:tabs>
          <w:tab w:leader="none" w:pos="15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ind w:left="640" w:firstLine="652"/>
        <w:spacing w:after="0" w:line="282" w:lineRule="auto"/>
        <w:tabs>
          <w:tab w:leader="none" w:pos="15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5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makes the following representations and warranties to each Purchaser:</w:t>
      </w:r>
    </w:p>
    <w:p>
      <w:pPr>
        <w:spacing w:after="0" w:line="225" w:lineRule="exact"/>
        <w:rPr>
          <w:sz w:val="20"/>
          <w:szCs w:val="20"/>
          <w:color w:val="auto"/>
        </w:rPr>
      </w:pPr>
    </w:p>
    <w:p>
      <w:pPr>
        <w:jc w:val="both"/>
        <w:ind w:firstLine="644"/>
        <w:spacing w:after="0" w:line="261" w:lineRule="auto"/>
        <w:tabs>
          <w:tab w:leader="none" w:pos="8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Subsidiaries of the Company as of the date of this Agreement are set forth in the SEC Reports. Except as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firstLine="644"/>
        <w:spacing w:after="0" w:line="253"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has been duly incorporated and is validly existing under the laws of its jurisdiction of incorporation or organization, and has the requisite corporate power and authority to own, lease or operate all of its properties and assets and to conduct its business as it is now being conducted as described in the SEC Reports, except as would not have a Material Adverse Effect on the Company, and has all necessary approvals from all governmental authorities to own, lease and operate its properties and to carry on its business as it is now being conducted as described in the SEC Reports, except where the failure to have all necessary approvals would not have, individually or in the aggregate, a Material Adverse Effect on the Company and its Subsidiaries, taken as a whole. The Company is not in violation nor default of any of the provisions of its respective certificate or articles of incorporation, bylaws or other organizational or charter documents, except for any such violation that would not reasonably be expected to, individually or in the aggregate, have: (i) a material adverse effect on the legality, validity or enforceability of any Transaction Document,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left="-460" w:firstLine="644"/>
        <w:spacing w:after="0" w:line="252" w:lineRule="auto"/>
        <w:tabs>
          <w:tab w:leader="none" w:pos="4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Enforcement</w:t>
      </w:r>
      <w:r>
        <w:rPr>
          <w:rFonts w:ascii="Times New Roman" w:cs="Times New Roman" w:eastAsia="Times New Roman" w:hAnsi="Times New Roman"/>
          <w:sz w:val="18"/>
          <w:szCs w:val="18"/>
          <w:color w:val="auto"/>
        </w:rPr>
        <w:t>. Except as set forth in the SEC Reports,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the Board of Directors, and no other company or corporate proceeding on the part of the Company is necessary in connection herewith or therewith other than in connection with the Required Approvals. This Agreement and each other Transaction Document to which it is a party has been (or upon delivery will have been) duly and validly executed by the Company and, when delivered in accordance with the terms hereof and thereof, will constitute the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whether such enforceability is considered in a proceeding in equity or at law. On or prior to the date of this Agreement, the Board has duly adopted resolutions (i) determining that this Agreement and the other Transaction Documents and the transactions contemplated hereby and thereby are advisable and fair to, and in the best interests of, the Company and its stockholders, as applicable, and (ii) authorizing and approving the execution, delivery and performance by the Company of this Agreement and the other Transaction Documents and the transactions contemplated hereby and thereby. No other corporate action is required on the part of the Company or any of its stockholders to enter into this Agreement and the other Transaction Documents or to approve the issuance of the Securities.</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and delivery by the Company of this Agreement and the other Transaction Documents to which it is a party, the issuance of the Securities and the consummation of the transactions contemplated hereby and thereby do not and will not (a) violate or conflict with any provision of, or result in the breach of, or default under the Company’s or any Subsidiary’s certificate or articles of incorporation, bylaws or other organizational or charter documents of the Company, or (b)  violate or conflict with any provision of, or result in the breach of, or default under any law or governmental order having jurisdiction over the Company, or any of the Subsidiaries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agreement, credit facility, debt or other instrument (evidencing a Company or Subsidiary debt or otherwise) or other understanding to which the Company or any Subsidiary is a party or by which any property or asset of the Company or any Subsidiary is bound or affected as described in the SEC Reports to which the Company or any of the Company’s Subsidiaries is a party or by which the Company or any of the Company’s Subsidiaries may be bound, or terminate or result in the termination of any such foregoing agreement, credit facility, debt or other instrument (evidencing a Company or Subsidiary debt or otherwise) or other understanding to which the Company or any Subsidiary is a party or by which any property or asset of the Company or any Subsidiary is bound or affected or (d) result in the creation of any Lien upon any of the properties or assets of the Company or any of the Company’s Subsidiaries, except, in the case of clauses (b) through (d), to the extent that the occurrence of the foregoing would not have, individually or in the aggregate, a Material Adverse Effect.</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460" w:firstLine="644"/>
        <w:spacing w:after="0" w:line="253" w:lineRule="auto"/>
        <w:tabs>
          <w:tab w:leader="none" w:pos="4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No consent, waiver, approval or authorization of, or designation, declaration or filing with, or notification to, any law, rule, regulation, order, judgment, injunction, decree or other restriction of any court or governmental authority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is required on the part of the Company or its Subsidiaries with respect to the Company’s execution or delivery of this Agreement and the other Transaction Documents or the consummation by the Company of the transactions contemplated hereby and thereby, except for (i) the filings required pursuant to Section 4.4 of this Agreement, (ii) the filing with the Commission of the Prospectus Supplement, (iii) such consents, approvals, authorizations, order and registrations or qualifications as may be required by FINRA, (iv) application(s) to each applicable Trading Market for the listing of the Shares and Pre-Funded Warrant Shares for trading thereon in the time and manner required thereby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and any consents, approvals, authorizations, designations, declarations, waivers or filings, the absence of which would not, individually or in the aggregate, reasonably be expected to have a Material Adverse Effect or a material adverse effect on the ability of the Company to perform or comply with on a timely basis any material obligations of the Company under this Agreement and the other Transaction Documents or to consummate the transaction contemplated hereby and thereby.</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and the Pre-Funded Warrants. The Company has prepared and filed the Registration Statement in conformity with the requirements of the Securities Act, which became effective on September 17, 2024,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pursuant to General Instruction I.B.1 of Form S-3.</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460" w:firstLine="644"/>
        <w:spacing w:after="0" w:line="251" w:lineRule="auto"/>
        <w:tabs>
          <w:tab w:leader="none" w:pos="4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SEC Reports. Except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those that have been duly waived.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the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sz w:val="20"/>
          <w:szCs w:val="20"/>
          <w:color w:val="auto"/>
        </w:rPr>
      </w:pP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left="-460" w:firstLine="644"/>
        <w:spacing w:after="0" w:line="251" w:lineRule="auto"/>
        <w:tabs>
          <w:tab w:leader="none" w:pos="4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makes no representation or warranty with respect to any statements or omissions made in reliance upon and in conformity with any information furnished by the Placement Agent to the Company in writing by such Placement Agent expressly for use in the Registration Statement, the Prospectus, or the Prospectus Supplement, and any amendment or supplement thereto.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Prospectus and the Prospectus Supplement and the SEC Reports conform to the descriptions thereof contained therein and there are no agreements or other documents required by the Act and the rules and regulations thereunder to be described in the Registration Statement, the Prospectus, and the Prospectus Supplement or the SEC Reports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Prospectus and the Prospectus Supplement or the SEC Reports,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or instruments has been assigned by the Company, and neither the Company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460" w:firstLine="644"/>
        <w:spacing w:after="0" w:line="252" w:lineRule="auto"/>
        <w:tabs>
          <w:tab w:leader="none" w:pos="4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specifically disclosed in a subsequent SEC Report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 Unless otherwise disclosed in an SEC Report filed prior to the date hereof, the Company has not: (i) issued any securities or incurred any liability or obligation, direct or contingent, for borrowed money; or (ii) declared or paid any dividend or made any other distribution on or in respect to its capital stock.</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jc w:val="both"/>
        <w:ind w:left="-460" w:firstLine="644"/>
        <w:spacing w:after="0" w:line="251" w:lineRule="auto"/>
        <w:tabs>
          <w:tab w:leader="none" w:pos="4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Except as set forth in the SEC Reports, (i) neither the Company nor any of its Subsidiaries is a party to or bound by any collective bargaining agreement, or any similar agreement, (ii) no such agreement is being negotiated by the Company or any of the Subsidiaries, and (iii) no labor union or any other employee representative body has requested or, to the knowledge of the Company, has sought to represent any of the employees of the Company or its Subsidiaries. To the knowledge of the Company, there has been no labor organization activity involving any employees of the Company or any of its Subsidiaries. Since January 1, 2020, there has been no actual or, to the knowledge of the Company, threatened strike, slowdown, work stoppage, lockout or other material labor dispute against or affecting the Company or any Subsidiary of the Company. Each of the Company and its Subsidiaries (i) are, and have been during the last three years, in compliance with all applicable laws respecting labor and employment including, but not limited to, all laws respecting terms and conditions of employment, health and safety, wages and hours, holiday pay and the calculation of holiday pay, working time, employee classification (with respect to both exempt vs. non-exempt status and employee vs. independent contractor and worker status), child labor, immigration, employment discrimination, disability rights or benefits, equal opportunity and equal pay, plant closures and layoffs, affirmative action, workers’ compensation, labor relations, employee leave issues and unemployment insurance, and (ii) have withheld and reported all amounts required by any legal requirement to be withheld and reported with respect to wages, salaries and other payments or compensation to any Company employee or other service provider, and (iii) have no liability for any arrears of wages or any penalty for failure to comply with any of the foregoing, except in each case of prongs (i)-(iii) where failure to comply would not reasonably be expected to result, individually or in the aggregate, in Material Adverse Effect on the Company or its Subsidiaries, taken as a whole. During the last three years, the Company and its Subsidiaries have not received (i) notice of any unfair labor practice charge or material complaint pending or threatened before the National Labor Relations Board or any other Governmental Authority against them, (ii) notice of any complaints, grievances or arbitrations arising out of any collective bargaining agreement or any other complaints, grievances or arbitration procedures against them, (iii) notice of any material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material complaint, lawsuit or other proceeding pending or threatened in any forum by or on behalf of any present or former employee of such entities, any applicant for employment or classes of the foregoing alleging breach of any express or implied agreement or contract of employment, any applicable law governing employment or the termination thereof or other discriminatory, wrongful or tortious conduct in connection with the employment relationship. To the knowledge of the Company, no present or former employee, worker or independent contractor of the Company or any of the Subsidiaries is in material violation of (i) any restrictive covenant, nondisclosure obligation or fiduciary duty to the Company or any of the Subsidiaries or (ii) any restrictive covenant or nondisclosure obligation to a former employer or engager of any such individual relating to (A) the right of any such individual to work for or provide services to the Company or any of the Subsidiaries or (B) the knowledge or use of Trade Secrets (defined as Company’s and the Subsidiaries’ confidential and proprietary information, whether oral or written, including ideas, designs, concepts, compositions, compilations of information, formulas, patterns, program, device, methods, methodologies, techniques, procedures, processes and other know-how, whether or not patentable, including all writings, memoranda, copies, reports, papers, surveys, analyses, drawings, letters, computer printouts, computer programs, computer applications, tools, specifications, business methods, business processes, business techniques, business plans, data (including customer data and technical data), graphs, charts, sound recordings and pictorial reproductions) or proprietary information.  Since January 1, 2020, the Company and its Subsidiaries have not engaged in layoffs, furloughs or employment terminations sufficient to trigger application of the Workers’ Adjustment and Retraining Notification Act or any similar state or local law relating to group terminations or effected any broad-based salary or other compensation or benefits reductions, in each case, whether temporary or permanent. To the knowledge of the Company, (i) no allegations of harassment, discrimination or misconduct have been made against any officer or director of the Company or its Subsidiaries, and (ii) the Company and its Subsidiaries have not entered into any settlement agreement or conducted any investigation related to allegations of harassment, discrimination or misconduct by a director, officer, employee, contractor or other agent of the Company or its Subsidiaries. Except as would not reasonably be expected to result, individually or in the aggregate, in material liability to the Company or its Subsidiaries, the Company is, and for the last three years has been, in compliance in all respects with the requirements of the Immigration Reform Control Act of 1986.</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460" w:firstLine="644"/>
        <w:spacing w:after="0" w:line="253" w:lineRule="auto"/>
        <w:tabs>
          <w:tab w:leader="none" w:pos="4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of the Company and its Subsidiaries is in compliance with all applicable laws in all material respects. Except as set forth in the SEC Reports, since January 1, 2020, neither the Company nor any of its Subsidiaries has received any written notice of, or been charged with, the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that would, individually or in the aggregate, be expected to have, individually or in the aggregate, a Material Adverse Effect.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or (ii) is in violation of any judgment, decree or order of any court, arbitrator or other governmental authority.</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its Subsidiaries has all material licenses, approvals, consents, registrations and permits of a statute, rule, ordinance or regulation of any governmental authority (the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reasonably required to permit the Company and its Subsidiaries to own, lease or operate their properties and assets in the manner in which they are now operated and to conduct the business of the Company and its Subsidiaries as currently conducted and as described in the SEC Reports, except where the failure to obtain such Material Permits has not had, or would not reasonably be expected to have, individually or in the aggregate, have a Material Adverse Effect on the Company and its Subsidiaries take as a whole. No suspension or cancellation of any of the Material Permits is pending or, to the knowledge of the Company, threatened. The disclosures in the Registration Statement concerning the effects of federal, state, local and all foreign regulation on the Company’s business as currently contemplated and as set forth in the SEC Reports are correct in all material respects.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Except as disclosed in the SEC Reports, the Company or one of its Subsidiaries owns and has good title to all material equipment and other tangible property reflected on the books of the Company and its Subsidiaries as owned by the Company or one of its Subsidiaries,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and (iii) as would not have a Material Adverse Effect, individually or in the aggregate, on the Company and its Subsidiaries, taken as a whole. Any real property and facilities held under lease by the Company and the Subsidiaries are held by them under valid, subsisting and enforceable leases with which the Company and the Subsidiaries are in compliance.</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jc w:val="both"/>
        <w:ind w:left="-460" w:firstLine="644"/>
        <w:spacing w:after="0" w:line="253" w:lineRule="auto"/>
        <w:tabs>
          <w:tab w:leader="none" w:pos="4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own, or have rights to use, all patents, patent applications, trademarks, trademark applications, service marks, trade names, trade secrets, inventions, copyrights, and other intellectual property rights necessary or required for with the operation of their respective businesses as described in the SEC Reports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would not reasonably be expected to, individually or in the aggregate, have a Material Adverse Effect.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Intellectual Property Rights of any Person, except as would not reasonably be expected to, individually or in the aggregate, have a Material Adverse Effect. To the knowledge of the Company, all Intellectual Property Rights registered with a governmental agency and owned by the Company or the Subsidiaries are enforceable and there is no existing infringement by another Person of any of the Intellectual Property Rights, except as would not reasonably be expected to, individually or in the aggregate,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taken as a whole, as are, in the Company and its Subsidiaries; reasonable judgment, adequate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jc w:val="both"/>
        <w:ind w:left="-460" w:firstLine="644"/>
        <w:spacing w:after="0" w:line="252" w:lineRule="auto"/>
        <w:tabs>
          <w:tab w:leader="none" w:pos="41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 Oxley Compliance</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established disclosure controls and procedures (as defined in Rule 13a-15(e) of the Exchange Act)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as to reasonably ensure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460" w:firstLine="644"/>
        <w:spacing w:after="0" w:line="253" w:lineRule="auto"/>
        <w:tabs>
          <w:tab w:leader="none" w:pos="4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except for any future notices received from such Trading Market regarding requirements to maintain a minimum bid price. The Common Stock is currently eligible for electronic transfer through the Depository Trust Company or another established clearing corporation and the Company is current in payment of the fees of the Depository Trust Company (or such other established clearing corporation) in connection with such electronic transfer.</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jc w:val="both"/>
        <w:ind w:left="4" w:firstLine="644"/>
        <w:spacing w:after="0" w:line="252" w:lineRule="auto"/>
        <w:tabs>
          <w:tab w:leader="none" w:pos="9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Within one year from the Closing Date, the Company does not intend to incur debts beyond its ability to pay such debts as they mature (taking into account the timing and amounts of cash to be payable on or in respect of its debt), and the Company has no knowledge of any facts or circumstances which lead it to believe that it will file for reorganization or liquidation under the bankruptcy or reorganization laws of any jurisdiction. The SEC Reports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8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commercially reasonable steps to ensure that its accounting controls and procedures are sufficient to cause the Company to comply in all material respects with the FCPA.</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left="4" w:firstLine="644"/>
        <w:spacing w:after="0" w:line="266" w:lineRule="auto"/>
        <w:tabs>
          <w:tab w:leader="none" w:pos="10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an independent registered public accounting firm as required by the Exchange Act and (ii) shall express its opinion with respect to the financial statements to be included in the Company’s Annual Report for the fiscal year ending December 31, 2025.</w:t>
      </w:r>
    </w:p>
    <w:p>
      <w:pPr>
        <w:spacing w:after="0" w:line="17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03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Pre-Funded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6" w:name="page27"/>
    <w:bookmarkEnd w:id="26"/>
    <w:p>
      <w:pPr>
        <w:jc w:val="both"/>
        <w:ind w:left="-460" w:firstLine="644"/>
        <w:spacing w:after="0" w:line="256" w:lineRule="auto"/>
        <w:tabs>
          <w:tab w:leader="none" w:pos="4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of its Subsidiaries, nor, to the knowledge of the Company, any of their respective directors, officers or employees, nor their agents or other third parties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5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Company’s and its Subsidiaries’ information technology and computer systems, networks, hardware, software, and equipment (collectively, the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except as would not reasonably be expected to have a Material Adverse Effect. To the knowledge of the Company the IT Systems are free and clear of all material bugs, malware, viruses, malicious code, “worms,” “Trojan horses,” “back doors,” or other vulnerabilities, or unauthorized tools or scripts that could reasonably be expected to materially adversely impact the confidentiality, integrity or availability of any IT Systems. To the knowledge of the Company, during the last three (3) years, there has been no material security breach or other compromise of any of the IT Systems. The Company and the Subsidiaries are, and at all times during the last three (3) years were, in material compliance with all applicable state, federal and foreign data privacy and security laws and regulations and have not been subject to any Action relating to noncompliance or potential noncompliance with all applicable state, federal and foreign data privacy and security laws and regulations.</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7" w:name="page28"/>
    <w:bookmarkEnd w:id="27"/>
    <w:p>
      <w:pPr>
        <w:ind w:left="1680" w:hanging="376"/>
        <w:spacing w:after="0"/>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disclosed in the SEC Reports, the Company and its Subsidiaries (i) are and, for the last three</w:t>
      </w:r>
    </w:p>
    <w:p>
      <w:pPr>
        <w:spacing w:after="0" w:line="27" w:lineRule="exact"/>
        <w:rPr>
          <w:rFonts w:ascii="Times New Roman" w:cs="Times New Roman" w:eastAsia="Times New Roman" w:hAnsi="Times New Roman"/>
          <w:sz w:val="18"/>
          <w:szCs w:val="18"/>
          <w:color w:val="auto"/>
        </w:rPr>
      </w:pP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years, have been in compliance in all material respects with all federal, state, local and foreign laws relating to pollution or protection of the environment (including natural resources) or human health and safety (with respect to exposure to chemicals, pollutants, contaminants, or toxic or hazardous substances or wastes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or the use, handling, generation, manufacture, processing, distribution, treatment, storage, transportation, labeling, recycling, remediation, cleanup, emission, disposal or release of, or exposure to, Hazardous Materials)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or otherwise regulated or for which liability or standards of care may be imposed, under applicable Environmental Laws, except for matters which have been fully resolved and (ii) hold and maintain in compliance in all material respects all material licenses required under applicable Environmental Laws to own, operate, use and maintain their assets and to conduct the business and operations of the Company and its Subsidiaries in compliance with the applicable Environmental Laws, where in the cases of clauses (i) and (ii), the failure to so comply would have, individually or in the aggregate, a Material Adverse Effect. There has been no release of any Hazardous Materials on, in, at, under or from any (i) leased real property of the Company or any Subsidiary; (ii) any property formerly owned, leased or operated by the Company or any Subsidiary or (iii) at any off-site location to which Hazardous Materials generated by the Company or any Subsidiary were sent for treatment, recycling, storage or disposal, in each case, which would reasonably be expected to give rise to material liability to the Company or any Subsidiary, under Environmental Laws. Notwithstanding anything to the contrary in this Agreement, this section provides the sole and exclusive representations and warranties of the Company in respect of environmental matters, including any and all matters arising under Environmental Laws.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380" w:firstLine="924"/>
        <w:spacing w:after="0" w:line="253" w:lineRule="auto"/>
        <w:tabs>
          <w:tab w:leader="none" w:pos="15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924"/>
        <w:spacing w:after="0" w:line="261" w:lineRule="auto"/>
        <w:tabs>
          <w:tab w:leader="none" w:pos="11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jc w:val="both"/>
        <w:ind w:firstLine="924"/>
        <w:spacing w:after="0" w:line="266" w:lineRule="auto"/>
        <w:tabs>
          <w:tab w:leader="none" w:pos="11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Pre-Funded Warrants, it will be an “accredited investor” as defined in Rule 501(a)(1), (a)(2), (a)(3), (a)(7), (a)(8), (a)(9), (a) (12), or (a)(13) under the Securities Act.</w:t>
      </w:r>
    </w:p>
    <w:p>
      <w:pPr>
        <w:spacing w:after="0" w:line="175" w:lineRule="exact"/>
        <w:rPr>
          <w:rFonts w:ascii="Times New Roman" w:cs="Times New Roman" w:eastAsia="Times New Roman" w:hAnsi="Times New Roman"/>
          <w:sz w:val="18"/>
          <w:szCs w:val="18"/>
          <w:color w:val="auto"/>
        </w:rPr>
      </w:pPr>
    </w:p>
    <w:p>
      <w:pPr>
        <w:jc w:val="both"/>
        <w:ind w:firstLine="924"/>
        <w:spacing w:after="0" w:line="261" w:lineRule="auto"/>
        <w:tabs>
          <w:tab w:leader="none" w:pos="11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924"/>
        <w:spacing w:after="0" w:line="253" w:lineRule="auto"/>
        <w:tabs>
          <w:tab w:leader="none" w:pos="11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200" w:lineRule="exact"/>
        <w:rPr>
          <w:sz w:val="20"/>
          <w:szCs w:val="20"/>
          <w:color w:val="auto"/>
        </w:rPr>
      </w:pPr>
    </w:p>
    <w:p>
      <w:pPr>
        <w:spacing w:after="0" w:line="2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700" w:top="904" w:right="339" w:bottom="1440" w:gutter="0" w:footer="0" w:header="0"/>
        </w:sectPr>
      </w:pPr>
    </w:p>
    <w:bookmarkStart w:id="29" w:name="page30"/>
    <w:bookmarkEnd w:id="29"/>
    <w:p>
      <w:pPr>
        <w:jc w:val="both"/>
        <w:ind w:left="380" w:firstLine="924"/>
        <w:spacing w:after="0" w:line="253" w:lineRule="auto"/>
        <w:tabs>
          <w:tab w:leader="none" w:pos="15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held discussions (written or oral) with the Company or any other Person representing the Company setting forth the material terms of the transactions contemplated hereunder and ending immediately prior to the execution of this Agreement.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80" w:firstLine="924"/>
        <w:spacing w:after="0" w:line="258" w:lineRule="auto"/>
        <w:tabs>
          <w:tab w:leader="none" w:pos="15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Each Purchaser has independently evaluated the merits of its decision to purchase the Securities pursuant to this Agreement. Each Purchaser understands that nothing in this Agreement or any other materials presented by or on behalf of the Company to the Purchaser in connection with the purchase of the Securities constitutes legal, tax or investment advice. Each Purchaser has consulted such legal, tax and investment advisors as it, in its sole discretion, has deemed necessary or appropriate in connection with its purchase of the Securities.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earliest of the time that (i) no Purchaser owns Securities or (ii) the Pre-Funded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general corporate and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made by a Purchaser Party in this Agreement or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6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the filing of any amendment or supplement to an existing registration statement for an “at the market” offering with the Placement Agent as sales agent, or filing a registration statement on Form S-8 in connection with any employee benefit plan.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 (6) months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w:t>
      </w:r>
    </w:p>
    <w:p>
      <w:pPr>
        <w:jc w:val="both"/>
        <w:ind w:left="660" w:hanging="4"/>
        <w:spacing w:after="0" w:line="253" w:lineRule="auto"/>
        <w:tabs>
          <w:tab w:leader="none" w:pos="9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firstLine="644"/>
        <w:spacing w:after="0" w:line="282" w:lineRule="auto"/>
        <w:tabs>
          <w:tab w:leader="none" w:pos="1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reasonable best efforts to seek specific performance of the terms of such Lock-Up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TIGO ENERGY, INC.</w:t>
            </w:r>
          </w:p>
        </w:tc>
        <w:tc>
          <w:tcPr>
            <w:tcW w:w="1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7"/>
              </w:rPr>
              <w:t>Address for Notice:</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4520" w:type="dxa"/>
            <w:vAlign w:val="bottom"/>
            <w:gridSpan w:val="2"/>
            <w:vMerge w:val="continue"/>
          </w:tcPr>
          <w:p>
            <w:pPr>
              <w:spacing w:after="0"/>
              <w:rPr>
                <w:sz w:val="24"/>
                <w:szCs w:val="24"/>
                <w:color w:val="auto"/>
              </w:rPr>
            </w:pPr>
          </w:p>
        </w:tc>
        <w:tc>
          <w:tcPr>
            <w:tcW w:w="19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TYGO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Pre-Funded Warrants to Purchaser (if not same as address for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Pre-Funded Warrants: ___________ Beneficial Ownership Blocker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4.99% or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Tigo Energy, Inc. Announces $15 Million Registered Direct Offering of its Common Stock</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LOS GATOS, Calif.—(BUSINESS WIRE) —Feb. 24, 2026—Tigo Energy, Inc. (Nasdaq: TYGO) (“Tigo” or the “Company”)</w:t>
      </w:r>
      <w:r>
        <w:rPr>
          <w:rFonts w:ascii="Times New Roman" w:cs="Times New Roman" w:eastAsia="Times New Roman" w:hAnsi="Times New Roman"/>
          <w:sz w:val="18"/>
          <w:szCs w:val="18"/>
          <w:color w:val="auto"/>
        </w:rPr>
        <w:t>, a leading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intelligent solar and energy software solutions, today announced that it has entered into definitive agreements with certain institutional investors for the purchase and sale of 5 million shares of common stock at a price of $3.00 per share, pursuant to a registered direct offering, expected to result in gross proceeds to the Company of approximately $15 million, before deducting placement agent fees and other offering expenses payable by the Company. The offering is expected to close on or about February 26, 2026, subject to the satisfaction of customary closing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from the proposed offering for general corporate and working capital purposes.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Craig-Hallum is acting as the exclusive Placement Agent for the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described above are being offered by the Company pursuant to a shelf registration statement on Form S-3, as amended, including a base prospectus, that was originally filed with the Securities and Exchange Commission (the “SEC”), by the Company on September 9, 2024 and was declared effective on September 17, 2024. A final prospectus supplement and accompanying prospectus relating to the offering will be filed with the SEC and will be available for free on the SEC’s website located at http://www.sec.gov. Copies of the final prospectus supplement and the accompanying prospectus relating to the offering may be obtained, when available, from: Craig-Hallum Capital Group LLC, Attention: Equity Capital Markets, 323 North Washington Ave., Suite 300, Minneapolis, MN 55401, by telephone at (612) 334-6300 or by email at prospectus@chlm.com.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Tigo Energy,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2007, Tigo is a worldwide leader in the development and manufacture of smart hardware and software solutions that enhance safety, increase energy yield, and lower operating costs of residential, commercial, and utility-scale solar systems. Tigo combines its Flex MLPE (Module Level Power Electronics) and solar optimizer technology with intelligent, cloud-based software capabilities for advanced energy monitoring and control. Tigo MLPE products maximize performance, enable real-time energy monitoring, and provide code-required rapid shutdown at the module level. The Company also develops and manufactures products such as inverters and battery storage systems for the residential solar-plus-storage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may contain certain “forward-looking statements” relating to the business of Tigo Energy, Inc., and its subsidiary companies. All statements, other than statements of historical fact, included herein are “forward-looking statements.” These forward-looking statements are often identified by the use of forward-looking terminology such as “believes,” “intends,” “expects,” or similar expressions, involving known and unknown risks and uncertainties. Although the Company believes that the expectations reflected in these forward-looking statements are reasonable, they do involve assumptions, risks and uncertainties, and these expectations may prove to be incorrect. Investing in our securities involves a high degree of risk. Before making an investment decision, you should carefully consider the risks, uncertainties and forward-looking statements described under “Risk Factors” in Item 1A of our Annual Report on Form 10-K for the year ended December 31, 2024 (Annual Report) and any subsequently filed quarterly reports on Form 10-Q and any Current Reports on Form 8-K. Investors should not place undue reliance on these forward-looking statements, which speak only as of the date of this press release.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actual results could differ materially from those anticipated in these forward-looking statements as a result of a variety of factors, including those discussed in the Company’s periodic reports that are filed with the Securities and Exchange Commission and available on its website at http://www.sec.gov. If any material risk was to occur, our business, financial condition or results of operations would likely suffer. In that event, the value of our securities could decline and you could lose part or all of your investment. Additional risks not presently known to us or that we currently deem immaterial may also impair our business operations. In addition, our past financial performance may not be a reliable indicator of future performance, and historical trends should not be used to anticipate results in the future. All forward-looking statements attributable to the Company or persons acting on its behalf are expressly qualified in their entirety by these factors. Other than as required under the securities laws, the Company does not assume a duty to update these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Ralf Esper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 Inc.</w:t>
      </w:r>
    </w:p>
    <w:p>
      <w:pPr>
        <w:spacing w:after="0" w:line="9" w:lineRule="exact"/>
        <w:rPr>
          <w:sz w:val="20"/>
          <w:szCs w:val="20"/>
          <w:color w:val="auto"/>
        </w:rPr>
      </w:pPr>
    </w:p>
    <w:p>
      <w:pPr>
        <w:ind w:right="9320" w:firstLine="8"/>
        <w:spacing w:after="0" w:line="290" w:lineRule="auto"/>
        <w:tabs>
          <w:tab w:leader="none" w:pos="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574-3860 TYGO@gateway-grp.com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1"/>
    </w:lvl>
    <w:lvl w:ilvl="1">
      <w:lvlJc w:val="left"/>
      <w:lvlText w:val="(%2)"/>
      <w:numFmt w:val="lowerRoman"/>
      <w:start w:val="1"/>
    </w:lvl>
  </w:abstractNum>
  <w:abstractNum w:abstractNumId="4">
    <w:nsid w:val="7C83E458"/>
    <w:multiLevelType w:val="hybridMultilevel"/>
    <w:lvl w:ilvl="0">
      <w:lvlJc w:val="left"/>
      <w:lvlText w:val="%1"/>
      <w:numFmt w:val="lowerLetter"/>
      <w:start w:val="1"/>
    </w:lvl>
    <w:lvl w:ilvl="1">
      <w:lvlJc w:val="left"/>
      <w:lvlText w:val="(%2)"/>
      <w:numFmt w:val="lowerRoman"/>
      <w:start w:val="5"/>
    </w:lvl>
  </w:abstractNum>
  <w:abstractNum w:abstractNumId="5">
    <w:nsid w:val="257130A3"/>
    <w:multiLevelType w:val="hybridMultilevel"/>
    <w:lvl w:ilvl="0">
      <w:lvlJc w:val="left"/>
      <w:lvlText w:val="(%1)"/>
      <w:numFmt w:val="lowerLetter"/>
      <w:start w:val="2"/>
    </w:lvl>
    <w:lvl w:ilvl="1">
      <w:lvlJc w:val="left"/>
      <w:lvlText w:val="(%2)"/>
      <w:numFmt w:val="lowerRoman"/>
      <w:start w:val="1"/>
    </w:lvl>
  </w:abstractNum>
  <w:abstractNum w:abstractNumId="6">
    <w:nsid w:val="62BBD95A"/>
    <w:multiLevelType w:val="hybridMultilevel"/>
    <w:lvl w:ilvl="0">
      <w:lvlJc w:val="left"/>
      <w:lvlText w:val="(%1)"/>
      <w:numFmt w:val="lowerLetter"/>
      <w:start w:val="1"/>
    </w:lvl>
    <w:lvl w:ilvl="1">
      <w:lvlJc w:val="left"/>
      <w:lvlText w:val="(%2)"/>
      <w:numFmt w:val="lowerRoman"/>
      <w:start w:val="1"/>
    </w:lvl>
  </w:abstractNum>
  <w:abstractNum w:abstractNumId="7">
    <w:nsid w:val="436C6125"/>
    <w:multiLevelType w:val="hybridMultilevel"/>
    <w:lvl w:ilvl="0">
      <w:lvlJc w:val="left"/>
      <w:lvlText w:val="(%1)"/>
      <w:numFmt w:val="lowerRoman"/>
      <w:start w:val="1"/>
    </w:lvl>
  </w:abstractNum>
  <w:abstractNum w:abstractNumId="8">
    <w:nsid w:val="628C895D"/>
    <w:multiLevelType w:val="hybridMultilevel"/>
    <w:lvl w:ilvl="0">
      <w:lvlJc w:val="left"/>
      <w:lvlText w:val="(%1)"/>
      <w:numFmt w:val="lowerRoman"/>
      <w:start w:val="2"/>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3"/>
    </w:lvl>
  </w:abstractNum>
  <w:abstractNum w:abstractNumId="11">
    <w:nsid w:val="2443A858"/>
    <w:multiLevelType w:val="hybridMultilevel"/>
    <w:lvl w:ilvl="0">
      <w:lvlJc w:val="left"/>
      <w:lvlText w:val="(%1)"/>
      <w:numFmt w:val="lowerLetter"/>
      <w:start w:val="5"/>
    </w:lvl>
  </w:abstractNum>
  <w:abstractNum w:abstractNumId="12">
    <w:nsid w:val="2D1D5AE9"/>
    <w:multiLevelType w:val="hybridMultilevel"/>
    <w:lvl w:ilvl="0">
      <w:lvlJc w:val="left"/>
      <w:lvlText w:val="(%1)"/>
      <w:numFmt w:val="lowerLetter"/>
      <w:start w:val="7"/>
    </w:lvl>
  </w:abstractNum>
  <w:abstractNum w:abstractNumId="13">
    <w:nsid w:val="6763845E"/>
    <w:multiLevelType w:val="hybridMultilevel"/>
    <w:lvl w:ilvl="0">
      <w:lvlJc w:val="left"/>
      <w:lvlText w:val="(%1)"/>
      <w:numFmt w:val="lowerLetter"/>
      <w:start w:val="8"/>
    </w:lvl>
  </w:abstractNum>
  <w:abstractNum w:abstractNumId="14">
    <w:nsid w:val="75A2A8D4"/>
    <w:multiLevelType w:val="hybridMultilevel"/>
    <w:lvl w:ilvl="0">
      <w:lvlJc w:val="left"/>
      <w:lvlText w:val="(%1)"/>
      <w:numFmt w:val="lowerLetter"/>
      <w:start w:val="9"/>
    </w:lvl>
  </w:abstractNum>
  <w:abstractNum w:abstractNumId="15">
    <w:nsid w:val="8EDBDAB"/>
    <w:multiLevelType w:val="hybridMultilevel"/>
    <w:lvl w:ilvl="0">
      <w:lvlJc w:val="left"/>
      <w:lvlText w:val="(%1)"/>
      <w:numFmt w:val="lowerLetter"/>
      <w:start w:val="11"/>
    </w:lvl>
  </w:abstractNum>
  <w:abstractNum w:abstractNumId="16">
    <w:nsid w:val="79838CB2"/>
    <w:multiLevelType w:val="hybridMultilevel"/>
    <w:lvl w:ilvl="0">
      <w:lvlJc w:val="left"/>
      <w:lvlText w:val="(%1)"/>
      <w:numFmt w:val="lowerLetter"/>
      <w:start w:val="12"/>
    </w:lvl>
  </w:abstractNum>
  <w:abstractNum w:abstractNumId="17">
    <w:nsid w:val="4353D0CD"/>
    <w:multiLevelType w:val="hybridMultilevel"/>
    <w:lvl w:ilvl="0">
      <w:lvlJc w:val="left"/>
      <w:lvlText w:val="(%1)"/>
      <w:numFmt w:val="lowerLetter"/>
      <w:start w:val="15"/>
    </w:lvl>
  </w:abstractNum>
  <w:abstractNum w:abstractNumId="18">
    <w:nsid w:val="B03E0C6"/>
    <w:multiLevelType w:val="hybridMultilevel"/>
    <w:lvl w:ilvl="0">
      <w:lvlJc w:val="left"/>
      <w:lvlText w:val="(%1)"/>
      <w:numFmt w:val="lowerLetter"/>
      <w:start w:val="18"/>
    </w:lvl>
  </w:abstractNum>
  <w:abstractNum w:abstractNumId="19">
    <w:nsid w:val="189A769B"/>
    <w:multiLevelType w:val="hybridMultilevel"/>
    <w:lvl w:ilvl="0">
      <w:lvlJc w:val="left"/>
      <w:lvlText w:val="(%1)"/>
      <w:numFmt w:val="lowerLetter"/>
      <w:start w:val="22"/>
    </w:lvl>
  </w:abstractNum>
  <w:abstractNum w:abstractNumId="20">
    <w:nsid w:val="54E49EB4"/>
    <w:multiLevelType w:val="hybridMultilevel"/>
    <w:lvl w:ilvl="0">
      <w:lvlJc w:val="left"/>
      <w:lvlText w:val="%1"/>
      <w:numFmt w:val="lowerLetter"/>
      <w:start w:val="1"/>
    </w:lvl>
    <w:lvl w:ilvl="1">
      <w:lvlJc w:val="left"/>
      <w:lvlText w:val="(%2)"/>
      <w:numFmt w:val="lowerLetter"/>
      <w:start w:val="25"/>
    </w:lvl>
  </w:abstractNum>
  <w:abstractNum w:abstractNumId="21">
    <w:nsid w:val="71F32454"/>
    <w:multiLevelType w:val="hybridMultilevel"/>
    <w:lvl w:ilvl="0">
      <w:lvlJc w:val="left"/>
      <w:lvlText w:val="(%1)"/>
      <w:numFmt w:val="lowerLetter"/>
      <w:start w:val="61"/>
    </w:lvl>
    <w:lvl w:ilvl="1">
      <w:lvlJc w:val="left"/>
      <w:lvlText w:val="(%2)"/>
      <w:numFmt w:val="lowerLetter"/>
      <w:start w:val="27"/>
    </w:lvl>
  </w:abstractNum>
  <w:abstractNum w:abstractNumId="22">
    <w:nsid w:val="2CA88611"/>
    <w:multiLevelType w:val="hybridMultilevel"/>
    <w:lvl w:ilvl="0">
      <w:lvlJc w:val="left"/>
      <w:lvlText w:val="%1"/>
      <w:numFmt w:val="lowerLetter"/>
      <w:start w:val="1"/>
    </w:lvl>
    <w:lvl w:ilvl="1">
      <w:lvlJc w:val="left"/>
      <w:lvlText w:val="(%2)"/>
      <w:numFmt w:val="lowerLetter"/>
      <w:start w:val="28"/>
    </w:lvl>
  </w:abstractNum>
  <w:abstractNum w:abstractNumId="23">
    <w:nsid w:val="836C40E"/>
    <w:multiLevelType w:val="hybridMultilevel"/>
    <w:lvl w:ilvl="0">
      <w:lvlJc w:val="left"/>
      <w:lvlText w:val="(%1)"/>
      <w:numFmt w:val="lowerLetter"/>
      <w:start w:val="61"/>
    </w:lvl>
    <w:lvl w:ilvl="1">
      <w:lvlJc w:val="left"/>
      <w:lvlText w:val="%2"/>
      <w:numFmt w:val="lowerLetter"/>
      <w:start w:val="1"/>
    </w:lvl>
  </w:abstractNum>
  <w:abstractNum w:abstractNumId="24">
    <w:nsid w:val="2901D82"/>
    <w:multiLevelType w:val="hybridMultilevel"/>
    <w:lvl w:ilvl="0">
      <w:lvlJc w:val="left"/>
      <w:lvlText w:val="(%1)"/>
      <w:numFmt w:val="lowerLetter"/>
      <w:start w:val="32"/>
    </w:lvl>
  </w:abstractNum>
  <w:abstractNum w:abstractNumId="25">
    <w:nsid w:val="3A95F874"/>
    <w:multiLevelType w:val="hybridMultilevel"/>
    <w:lvl w:ilvl="0">
      <w:lvlJc w:val="left"/>
      <w:lvlText w:val="(%1)"/>
      <w:numFmt w:val="lowerLetter"/>
      <w:start w:val="37"/>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2"/>
    </w:lvl>
  </w:abstractNum>
  <w:abstractNum w:abstractNumId="28">
    <w:nsid w:val="7C3DBD3D"/>
    <w:multiLevelType w:val="hybridMultilevel"/>
    <w:lvl w:ilvl="0">
      <w:lvlJc w:val="left"/>
      <w:lvlText w:val="(%1)"/>
      <w:numFmt w:val="lowerLetter"/>
      <w:start w:val="6"/>
    </w:lvl>
  </w:abstractNum>
  <w:abstractNum w:abstractNumId="29">
    <w:nsid w:val="737B8DDC"/>
    <w:multiLevelType w:val="hybridMultilevel"/>
    <w:lvl w:ilvl="0">
      <w:lvlJc w:val="left"/>
      <w:lvlText w:val="%1"/>
      <w:numFmt w:val="lowerLetter"/>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35"/>
    </w:lvl>
    <w:lvl w:ilvl="1">
      <w:lvlJc w:val="left"/>
      <w:lvlText w:val="%2"/>
      <w:numFmt w:val="lowerLetter"/>
      <w:start w:val="1"/>
    </w:lvl>
  </w:abstractNum>
  <w:abstractNum w:abstractNumId="31">
    <w:nsid w:val="22221A70"/>
    <w:multiLevelType w:val="hybridMultilevel"/>
    <w:lvl w:ilvl="0">
      <w:lvlJc w:val="left"/>
      <w:lvlText w:val="(%1)"/>
      <w:numFmt w:val="lowerLetter"/>
      <w:start w:val="3"/>
    </w:lvl>
  </w:abstractNum>
  <w:abstractNum w:abstractNumId="32">
    <w:nsid w:val="4516DDE9"/>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2026-02-26T13:55:30Z</dcterms:created>
  <dcterms:modified xsi:type="dcterms:W3CDTF">2026-02-26T13:55:30Z</dcterms:modified>
</cp:coreProperties>
</file>