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jc w:val="center"/>
        <w:ind w:left="3400" w:right="740" w:hanging="2647"/>
        <w:spacing w:after="0" w:line="453" w:lineRule="auto"/>
        <w:tabs>
          <w:tab w:leader="none" w:pos="944"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24" w:lineRule="exact"/>
        <w:rPr>
          <w:rFonts w:ascii="MS PGothic" w:cs="MS PGothic" w:eastAsia="MS PGothic" w:hAnsi="MS PGothic"/>
          <w:sz w:val="16"/>
          <w:szCs w:val="16"/>
          <w:color w:val="auto"/>
        </w:rPr>
      </w:pPr>
    </w:p>
    <w:p>
      <w:pPr>
        <w:ind w:left="940" w:hanging="193"/>
        <w:spacing w:after="0"/>
        <w:tabs>
          <w:tab w:leader="none" w:pos="9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12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001-40710</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Roth CH Acquisition IV Co.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380" w:type="dxa"/>
            <w:vAlign w:val="bottom"/>
            <w:gridSpan w:val="3"/>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83-3583873</w:t>
            </w:r>
          </w:p>
        </w:tc>
      </w:tr>
      <w:tr>
        <w:trPr>
          <w:trHeight w:val="185"/>
        </w:trPr>
        <w:tc>
          <w:tcPr>
            <w:tcW w:w="3540" w:type="dxa"/>
            <w:vAlign w:val="bottom"/>
            <w:tcBorders>
              <w:top w:val="single" w:sz="8" w:color="auto"/>
            </w:tcBorders>
          </w:tcPr>
          <w:p>
            <w:pPr>
              <w:jc w:val="center"/>
              <w:ind w:left="12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40" w:type="dxa"/>
            <w:vAlign w:val="bottom"/>
          </w:tcPr>
          <w:p>
            <w:pPr>
              <w:jc w:val="center"/>
              <w:ind w:left="12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17"/>
        </w:trPr>
        <w:tc>
          <w:tcPr>
            <w:tcW w:w="3540" w:type="dxa"/>
            <w:vAlign w:val="bottom"/>
          </w:tcPr>
          <w:p>
            <w:pPr>
              <w:spacing w:after="0"/>
              <w:rPr>
                <w:sz w:val="24"/>
                <w:szCs w:val="24"/>
                <w:color w:val="auto"/>
              </w:rPr>
            </w:pPr>
          </w:p>
        </w:tc>
        <w:tc>
          <w:tcPr>
            <w:tcW w:w="6380" w:type="dxa"/>
            <w:vAlign w:val="bottom"/>
            <w:gridSpan w:val="3"/>
          </w:tcPr>
          <w:p>
            <w:pPr>
              <w:jc w:val="center"/>
              <w:ind w:right="3439"/>
              <w:spacing w:after="0"/>
              <w:rPr>
                <w:sz w:val="20"/>
                <w:szCs w:val="20"/>
                <w:color w:val="auto"/>
              </w:rPr>
            </w:pPr>
            <w:r>
              <w:rPr>
                <w:rFonts w:ascii="Times New Roman" w:cs="Times New Roman" w:eastAsia="Times New Roman" w:hAnsi="Times New Roman"/>
                <w:sz w:val="16"/>
                <w:szCs w:val="16"/>
                <w:b w:val="1"/>
                <w:bCs w:val="1"/>
                <w:color w:val="auto"/>
              </w:rPr>
              <w:t>888 San Clemente Drive, Suite 400</w:t>
            </w:r>
          </w:p>
        </w:tc>
      </w:tr>
      <w:tr>
        <w:trPr>
          <w:trHeight w:val="242"/>
        </w:trPr>
        <w:tc>
          <w:tcPr>
            <w:tcW w:w="3540" w:type="dxa"/>
            <w:vAlign w:val="bottom"/>
          </w:tcPr>
          <w:p>
            <w:pPr>
              <w:spacing w:after="0"/>
              <w:rPr>
                <w:sz w:val="21"/>
                <w:szCs w:val="21"/>
                <w:color w:val="auto"/>
              </w:rPr>
            </w:pPr>
          </w:p>
        </w:tc>
        <w:tc>
          <w:tcPr>
            <w:tcW w:w="6380" w:type="dxa"/>
            <w:vAlign w:val="bottom"/>
            <w:gridSpan w:val="3"/>
          </w:tcPr>
          <w:p>
            <w:pPr>
              <w:jc w:val="center"/>
              <w:ind w:right="3459"/>
              <w:spacing w:after="0"/>
              <w:rPr>
                <w:sz w:val="20"/>
                <w:szCs w:val="20"/>
                <w:color w:val="auto"/>
              </w:rPr>
            </w:pPr>
            <w:r>
              <w:rPr>
                <w:rFonts w:ascii="Times New Roman" w:cs="Times New Roman" w:eastAsia="Times New Roman" w:hAnsi="Times New Roman"/>
                <w:sz w:val="16"/>
                <w:szCs w:val="16"/>
                <w:b w:val="1"/>
                <w:bCs w:val="1"/>
                <w:color w:val="auto"/>
              </w:rPr>
              <w:t xml:space="preserve">Newport Beach, CA </w:t>
            </w:r>
            <w:r>
              <w:rPr>
                <w:rFonts w:ascii="Times New Roman" w:cs="Times New Roman" w:eastAsia="Times New Roman" w:hAnsi="Times New Roman"/>
                <w:sz w:val="19"/>
                <w:szCs w:val="19"/>
                <w:b w:val="1"/>
                <w:bCs w:val="1"/>
                <w:color w:val="auto"/>
              </w:rPr>
              <w:t>92660</w:t>
            </w:r>
          </w:p>
        </w:tc>
      </w:tr>
      <w:tr>
        <w:trPr>
          <w:trHeight w:val="210"/>
        </w:trPr>
        <w:tc>
          <w:tcPr>
            <w:tcW w:w="3540" w:type="dxa"/>
            <w:vAlign w:val="bottom"/>
          </w:tcPr>
          <w:p>
            <w:pPr>
              <w:spacing w:after="0"/>
              <w:rPr>
                <w:sz w:val="18"/>
                <w:szCs w:val="18"/>
                <w:color w:val="auto"/>
              </w:rPr>
            </w:pPr>
          </w:p>
        </w:tc>
        <w:tc>
          <w:tcPr>
            <w:tcW w:w="6380" w:type="dxa"/>
            <w:vAlign w:val="bottom"/>
            <w:gridSpan w:val="3"/>
          </w:tcPr>
          <w:p>
            <w:pPr>
              <w:jc w:val="center"/>
              <w:ind w:right="3459"/>
              <w:spacing w:after="0"/>
              <w:rPr>
                <w:sz w:val="20"/>
                <w:szCs w:val="20"/>
                <w:color w:val="auto"/>
              </w:rPr>
            </w:pPr>
            <w:r>
              <w:rPr>
                <w:rFonts w:ascii="Times New Roman" w:cs="Times New Roman" w:eastAsia="Times New Roman" w:hAnsi="Times New Roman"/>
                <w:sz w:val="16"/>
                <w:szCs w:val="16"/>
                <w:color w:val="auto"/>
              </w:rPr>
              <w:t>(Address of principal executive offices)</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(949) 720-5700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4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20" w:type="dxa"/>
            <w:vAlign w:val="bottom"/>
          </w:tcPr>
          <w:p>
            <w:pPr>
              <w:spacing w:after="0"/>
              <w:rPr>
                <w:sz w:val="16"/>
                <w:szCs w:val="16"/>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6"/>
                <w:szCs w:val="16"/>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ROCG</w:t>
            </w:r>
          </w:p>
        </w:tc>
        <w:tc>
          <w:tcPr>
            <w:tcW w:w="280" w:type="dxa"/>
            <w:vAlign w:val="bottom"/>
          </w:tcPr>
          <w:p>
            <w:pPr>
              <w:spacing w:after="0"/>
              <w:rPr>
                <w:sz w:val="16"/>
                <w:szCs w:val="16"/>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20" w:type="dxa"/>
            <w:vAlign w:val="bottom"/>
          </w:tcPr>
          <w:p>
            <w:pPr>
              <w:spacing w:after="0"/>
              <w:rPr>
                <w:sz w:val="17"/>
                <w:szCs w:val="17"/>
                <w:color w:val="auto"/>
              </w:rPr>
            </w:pPr>
          </w:p>
        </w:tc>
        <w:tc>
          <w:tcPr>
            <w:tcW w:w="4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8"/>
              </w:rPr>
              <w:t>Warrants</w:t>
            </w: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ROCGW</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20" w:type="dxa"/>
            <w:vAlign w:val="bottom"/>
          </w:tcPr>
          <w:p>
            <w:pPr>
              <w:spacing w:after="0"/>
              <w:rPr>
                <w:sz w:val="18"/>
                <w:szCs w:val="18"/>
                <w:color w:val="auto"/>
              </w:rPr>
            </w:pPr>
          </w:p>
        </w:tc>
        <w:tc>
          <w:tcPr>
            <w:tcW w:w="4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Units</w:t>
            </w: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ROCGU</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7"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8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2"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162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12, 2022, there were 14,836,500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484505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0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ROTH CH ACQUISITION IV CO.</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1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FORM 10-Q FOR THE QUARTERLY PERIOD ENDED JUNE 30, 2022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Part I. Financial Information</w:t>
            </w:r>
          </w:p>
        </w:tc>
        <w:tc>
          <w:tcPr>
            <w:tcW w:w="6880" w:type="dxa"/>
            <w:vAlign w:val="bottom"/>
            <w:gridSpan w:val="12"/>
            <w:vMerge w:val="restart"/>
          </w:tcPr>
          <w:p>
            <w:pPr>
              <w:spacing w:after="0"/>
              <w:rPr>
                <w:sz w:val="24"/>
                <w:szCs w:val="24"/>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80" w:type="dxa"/>
            <w:vAlign w:val="bottom"/>
            <w:tcBorders>
              <w:bottom w:val="single" w:sz="8" w:color="0000EE"/>
            </w:tcBorders>
            <w:gridSpan w:val="12"/>
            <w:vMerge w:val="continue"/>
          </w:tcPr>
          <w:p>
            <w:pPr>
              <w:spacing w:after="0"/>
              <w:rPr>
                <w:sz w:val="13"/>
                <w:szCs w:val="13"/>
                <w:color w:val="auto"/>
              </w:rPr>
            </w:pPr>
          </w:p>
        </w:tc>
        <w:tc>
          <w:tcPr>
            <w:tcW w:w="6880" w:type="dxa"/>
            <w:vAlign w:val="bottom"/>
            <w:gridSpan w:val="12"/>
            <w:vMerge w:val="continue"/>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0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1. Financial Statements</w:t>
            </w:r>
          </w:p>
        </w:tc>
        <w:tc>
          <w:tcPr>
            <w:tcW w:w="6720" w:type="dxa"/>
            <w:vAlign w:val="bottom"/>
            <w:gridSpan w:val="11"/>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Balance Sheets as of June 30, 2022 (Unaudited) and December 31, 2021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Operations for the Three and Six Months Ended June 30, 2022 and 2021 (Unaudited)</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for the Three and Six Months Ended June 30, 2022 and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2021 (Unaudited)</w:t>
            </w:r>
          </w:p>
        </w:tc>
        <w:tc>
          <w:tcPr>
            <w:tcW w:w="6860" w:type="dxa"/>
            <w:vAlign w:val="bottom"/>
            <w:tcBorders>
              <w:top w:val="single" w:sz="8" w:color="0000EE"/>
            </w:tcBorders>
            <w:gridSpan w:val="16"/>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2022 and 2021 (Unaudited)</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1340" w:type="dxa"/>
            <w:vAlign w:val="bottom"/>
            <w:gridSpan w:val="3"/>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1780" w:type="dxa"/>
            <w:vAlign w:val="bottom"/>
            <w:gridSpan w:val="4"/>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1. Legal Proceedings</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6900" w:type="dxa"/>
            <w:vAlign w:val="bottom"/>
            <w:gridSpan w:val="13"/>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880" w:type="dxa"/>
            <w:vAlign w:val="bottom"/>
            <w:gridSpan w:val="7"/>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900" w:type="dxa"/>
            <w:vAlign w:val="bottom"/>
            <w:gridSpan w:val="9"/>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460" w:type="dxa"/>
            <w:vAlign w:val="bottom"/>
            <w:gridSpan w:val="10"/>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4"/>
          </w:tcPr>
          <w:p>
            <w:pPr>
              <w:spacing w:after="0"/>
              <w:rPr>
                <w:sz w:val="17"/>
                <w:szCs w:val="17"/>
                <w:color w:val="auto"/>
              </w:rPr>
            </w:pPr>
          </w:p>
        </w:tc>
        <w:tc>
          <w:tcPr>
            <w:tcW w:w="6920" w:type="dxa"/>
            <w:vAlign w:val="bottom"/>
            <w:gridSpan w:val="14"/>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96"/>
        </w:trPr>
        <w:tc>
          <w:tcPr>
            <w:tcW w:w="8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256"/>
        </w:trPr>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401,681</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insurance, short-term</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 long-term</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116,921,818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116,738,316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117,547,587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117,832,388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$0.0001 par value; 11,500,000 shares at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 value at June 30, 2022 and December 31, 2021</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116,725,000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 shares authorized; 3,336,500 shares issued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outstanding as of June 30, 2022 and December 31, 2021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(562,856)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705,471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862,595</w:t>
            </w: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117,547,587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117,832,388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9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9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(336,254)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on marketable securities held in Trust Account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(152,752)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redeemable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11,500,000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11,500,000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redeemable common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2,875,000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3,336,500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non-redeemable common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14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continue"/>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9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3,336,500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1,267,993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(405,732)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862,595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(121,627)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March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3,336,500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1,267,993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(527,359)</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740,968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(35,497)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June 30,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3,336,500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1,267,993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(562,856)</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14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continue"/>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9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2,875,000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24,712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March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(3,290)</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June 30,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(3,380)</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83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(157,124)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(183,502)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insurance, long- term</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(132,049)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(400,925)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126,199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(400,925)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802,606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401,681</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Roth CH Acquisition IV Co. (the “Company”) was incorporated in Delaware on February 13, 2019. The Company is a blank check company formed for the purpose of entering into a merger, share exchange, asset acquisition, stock purchase, recapitalization, reorganization or other similar business combination with one or more businesses or entities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an early stage and emerging growth company and, as such, the Company is subject to all of the risks associated with early stage and emerging growth companies.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not commenced any operations. All the Company’s activities through June 30, 2022 related to its formation and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5, 2021. On August 10, 2021, the Company consummated the Initial Public Offering of 11,500,000 units (the “Units” and, with respect to the shares of common stock included in the Units sold, the “Public Shares”), which included the full exercise by the underwriters of their over-allotment option in the amount of 1,500,000 Units, at $10.00 per Unit, generating gross proceeds of $115,000,000, which is described in Note 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461,500 units (the “Private Units”) at a price of $10.00 per Private Unit in a private placement to certain of the Company’s initial stockholders, generating gross proceeds of $4,615,000, which is described in Note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amounted to $1,646,673, consisting of $1,150,000 of underwriting fees, and $496,673 of other offering costs.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on August 10, 2021, an amount of $116,725,000 ($10.15 per Unit) from the net proceeds of the sale of the Units in the Initial Public Offering and the sale of the Private Units was placed in a trust account (the “Trust Account”), located in the United States and will be held in cash items or invested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Trust Account, as described below.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Units, although substantially all of the net proceeds are intended to be applied generally toward consummating a Business Combination. There is no assurance that the Company will be able to complete a Business Combination successfully. The Company must complete a Business Combination having an aggregate fair market value of at least 80% of the assets held in the Trust Account (excluding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containing substantially the same information as would be included in a proxy statement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holders of the Company’s shares prior to the Initial Public Offering (the “Initial Stockholders”) have agreed (a) to vote their Founder Shares (as defined in Note 5), Private Shares (as defined in Note 4) and any Public Shares purchased during or after the Initial Public Offering in favor of approving a Business Combination and (b) not to redeem any shares in connection with a stockholder vote to approve a Business Combination or sell any shares to the Company in a tender offer in connection with a Business Combination. Additionally, each public stockholder may elect to redeem their Public Shares, irrespective of how or whether they vote on the proposed transaction.</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(a) to waive their redemption rights with respect to their Founder Shares, Private Shares and Public Shares held by them in connection with the completion of a Business Combination and (b) not to propose an amendment to the Amended and Restated Certificate of Incorporation that would affect a public stockholders’ ability to convert or sell their shares to the Company in connection with a Business Combination or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have until February 10, 2023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taxes and liquidation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Stockholders have agreed to waive their liquidation rights with respect to the Founder Shares and Private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In the event of such distribution, it is possible that the per share value of the assets remaining available for distribution will be less than the Initial Public Offering price per Unit.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order to protect the amounts held in the Trust Account, certain of the Initial Stockholders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w:t>
      </w:r>
    </w:p>
    <w:p>
      <w:pPr>
        <w:spacing w:after="0" w:line="1" w:lineRule="exact"/>
        <w:rPr>
          <w:sz w:val="20"/>
          <w:szCs w:val="20"/>
          <w:color w:val="auto"/>
        </w:rPr>
      </w:pPr>
    </w:p>
    <w:p>
      <w:pPr>
        <w:jc w:val="both"/>
        <w:ind w:firstLine="8"/>
        <w:spacing w:after="0" w:line="251"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$10.15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valid and enforceable agreement with the Company waiving any right, title, interest or claim of any kind they may have in or to any monies held in the Trust Account and except as to any claims under the Company’s indemnity of the underwriters of Initial Public Offering against certain liabilities, including liabilities under the Securities Act of 1933, as amended (the “Securities Act”). Moreover, in the event that an executed waiver is deemed to be unenforceable against a third party, the Initial Stockholders will not be responsible to the extent of any liability for such third-party claims. The Company will seek to reduce the possibility that the Initial Stockholders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$401,681 in its operating bank account and working capital of $737,923.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businesses to acquire, and structuring, negotiating, and consummating the Business Combination.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incurred and expects to continue to incur significant costs in pursuit of its acquisition plans. The Company will need to raise additional capital through loans or additional investments from the Initial Stockholders and the Company’s officers and directors or their affiliates. The Initial Stockholders and the Company’s officers and directors or their affiliates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If the Company is unable to complete the Business Combination because it does not have sufficient funds available, the Company will be forced to cease operations and liquidate the Trust Account.</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(“FASB’s”) Accounting Standards Update (“ASU”) 2014-15, “Disclosures of Uncertainties about an Entity’s Ability to Continue as a Going Concern,” management has determined that if the Company is unable to complete a Business Combination by February 10, 2023, then the Company will cease all operations except for the purpose of liquidating. The liquidity condition and the date for mandatory liquidation and subsequent dissolution raises substantial doubt about the Company’s ability to continue as a going concern. No adjustments have been made to the carrying amounts of assets or liabilities should the Company be required to liquidate after February 10,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COVID-19 could have a negative effect on the Company’s financial position, results of operations and/or its search for a target company for a Business Combination, the specific impact is not readily determinable as of the date of these financial statements.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April 7, 2022. The interim results for the three and six months ended June 30, 2022 are not necessarily indicative of the results to be expected for the year ending December 31, 2022 or for any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2022 and December 31, 2021, substantially all of the assets held in the Trust Account were held in money market funds which are invested primarily in U.S. Treasury securities.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statements of operations. The estimated fair values of investments held in the Trust Account are determined using available market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Offering costs consist of underwriting, legal, accounting and other expenses incurred through the balance sheet date that are directly related to the Initial Public Offering. Offering costs are allocated to the separable financial instruments issued in the Initial Public Offering based on a relative fair value basis, compared to total proceeds received. Offering costs amounted to $1,646,673, which were initially charged to temporary equity and then accreted to common stock subject to redemption upon the completion of the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June 30, 2022 and December 31, 2021, common stock subject to possible redemption is presented at redemption value as temporary equity, outside of the stockholders’ equity section of the Company’s condensed balance sheets.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Immediately upon the closing of the Initial Public Offering, the Company recognized the accretion from initial book value to redemption amount value. The change in the carrying value of redeemable common stock resulted in a charge against additional paid-in capital.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common stock subject to possible redemption reflected in the condensed balance sheets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issuance costs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7,799,173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Company’s has analyzed the Public Warrants and Private Warrants and determined they are considered to be freestanding instruments and do not exhibit any of the characteristics in ASC 480 and therefore are not classified as liabilities under ASC 480.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unaudited condensed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June 30, 2022 and December 31, 2021, the Company’s deferred tax asset had a full valuation allowance recorded against it. Our effective tax rate was 14.05% and 0.00% for the three months ended June 30, 2022 and 2021, respectively and 2.86% and 0.00% for the six months ended June 30, 2022 and 2021, respectively. The effective tax rate differs from the statutory tax rate of 21% for the three months and six months ended June 30, 2022 and 2021, due to the valuation allowance on the deferred tax assets.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common stock, which are referred to as redeemable common stock and non-redeemable common stock. Income and losses are shared pro rata between the two classes of common stock. Net loss per common share is computed by dividing net loss by the weighted average number of shares of common stock outstanding for the period. Remeasurement associated with the redeemable shares of common stock is excluded from net loss per common share as the redemption value approximates fair value.</w:t>
      </w:r>
    </w:p>
    <w:p>
      <w:pPr>
        <w:spacing w:after="0" w:line="183"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calculation of diluted loss per common share does not consider the effect of the warrants issued in connection with the (i) Initial Public Offering, and (ii) the private placement since the exercise of the warrants is contingent upon the occurrence of future events. The warrants are exercisable to purchase 5,980,750 shares of common stock in the aggregate. As of June 30, 2022 and 2021, the Company did not have any dilutive securities or other contracts that could, potentially, be exercised or converted into common stocks and then share in the earnings of the Company. As a result, diluted net loss per common share is the same as basic net loss per common share for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calculation of basic and diluted net loss per common share (in dollars,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16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Borders>
              <w:top w:val="single" w:sz="8" w:color="auto"/>
            </w:tcBorders>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Redeemable   Non-redeemable</w:t>
            </w:r>
          </w:p>
        </w:tc>
        <w:tc>
          <w:tcPr>
            <w:tcW w:w="140" w:type="dxa"/>
            <w:vAlign w:val="bottom"/>
          </w:tcPr>
          <w:p>
            <w:pPr>
              <w:spacing w:after="0"/>
              <w:rPr>
                <w:sz w:val="10"/>
                <w:szCs w:val="10"/>
                <w:color w:val="auto"/>
              </w:rPr>
            </w:pPr>
          </w:p>
        </w:tc>
        <w:tc>
          <w:tcPr>
            <w:tcW w:w="2100" w:type="dxa"/>
            <w:vAlign w:val="bottom"/>
            <w:tcBorders>
              <w:top w:val="single" w:sz="8" w:color="auto"/>
            </w:tcBorders>
            <w:gridSpan w:val="5"/>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Redeemable   Non-redeemable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08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0" w:type="dxa"/>
            <w:vAlign w:val="bottom"/>
          </w:tcPr>
          <w:p>
            <w:pPr>
              <w:spacing w:after="0"/>
              <w:rPr>
                <w:sz w:val="10"/>
                <w:szCs w:val="10"/>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6"/>
        </w:trPr>
        <w:tc>
          <w:tcPr>
            <w:tcW w:w="10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Basic and</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diluted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loss per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common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share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Allocation of</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(35,335)</w:t>
            </w: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0"/>
                <w:szCs w:val="20"/>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11,500,000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3,336,500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11,500,000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3,336,500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20" w:type="dxa"/>
            <w:vAlign w:val="bottom"/>
          </w:tcPr>
          <w:p>
            <w:pPr>
              <w:spacing w:after="0"/>
              <w:rPr>
                <w:sz w:val="20"/>
                <w:szCs w:val="20"/>
                <w:color w:val="auto"/>
              </w:rPr>
            </w:pPr>
          </w:p>
        </w:tc>
      </w:tr>
      <w:tr>
        <w:trPr>
          <w:trHeight w:val="178"/>
        </w:trPr>
        <w:tc>
          <w:tcPr>
            <w:tcW w:w="1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Basic and</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per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80"/>
          </w:cols>
          <w:pgMar w:left="980" w:top="661" w:right="9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815-40) (“ASU 2020-06”) which simplifies accounting for convertible instruments by removing major separation models required under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on January 1, 2021. The adoption of ASU 2020-06 did not have an impact on the Company’s financial statements.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condensed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2021, pursuant to the Initial Public Offering, the Company sold 11,500,000 Units, which included a full exercise by the underwriters of their over-allotment option in the amount of 1,500,000 Units, at a price of $10.00 per Unit. Each Unit consists of one share of common stock and one-half of one redeemable warrant (“Public Warrant”). Each whole Public Warrant entitles the holder thereof to purchase one share of common stock at an exercise price of $11.50 per share, subject to adjustment (see Note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certain of the Initial Stockholders purchased from the Company an aggregate of 461,500 Private Units at a price of $10.00 per Private Unit, for an aggregate purchase price of $4,615,000, in a private placement. Each Private Unit consists of one share of common stock (“Private Share”) and one-half of one redeemable warrant (“Private Warrant”). Each whole Private Warrant entitles the holder thereof to purchase one share of common stock at a price of $11.50 per share, subject to adjustment (see Note 7). The proceeds from the Private Units were added to the proceeds from the Initial Public Offering held in the Trust Account. If the Company does not complete a Business Combination within the Combination Period, the proceeds from the sale of the Private Units will be used to fund the redemption of the Public Shares (subject to the requirements of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2019, an Initial Stockholder purchased an aggregate of 100 shares of the Company’s common stock for an aggregate price of $25,000. On June 29, 2020, the Company effected a stock dividend of 43,125 shares of common stock for each share of common stock outstanding, resulting in an aggregate of 4,312,500 shares of common stock being outstanding. On July 1, 2021, certain of the Initial Stockholders sold an aggregate of 1,490,874 shares of common stock to the Company for an aggregate purchase price of $8,643, of which 1,437,500 shares were cancelled and the remaining 53,374 shares were purchased by certain of the Company’s officers from the Company for an aggregate purchase price of $464, resulting in an aggregate of 2,875,000 shares of common stock being outstanding (the “Founder Shares”). The Founder Shares included an aggregate of up to 375,000 shares subject to forfeiture by the Initial Stockholders to the extent that the underwriters’ over-allotment was not exercised in full or in part, so that the Initial Stockholders would collectively own approximately 20% of the Company’s issued and outstanding shares after the Initial Public Offering (assuming the Initial Stockholders did not purchase any Public Shares in the Initial Public Offering and excluding the Private Shares). As a result of the underwriters’ election to fully exercise their over-allotment option, no Founder Shares are subject to forfeiture.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 of the Founder Shares to certain of the Company’s officers, as described above, is within the scope of FASB ASC Topic 718, “Compensation-Stock Compensation” (“ASC 718”). Under ASC 718, stock-based compensation associated with equity-classified awards is measured at fair value upon the grant date. The fair value of the 53,374 shares sold to the Company’s officers was $323,446, or $6.06 per share. The Founder Shares were effectively sold subject to a performance condition (i.e., the occurrence of a Business Combination). Compensation expense related to the Founder Shares is recognized only when the performance condition is probable of occurrence. Stock-based compensation will be recognized at the date a Business Combination is considered probable in an amount equal to the number of Founder Shares times the grant date fair value per share (unless subsequently modified) less the amount initially received for the purchase of the Founder Shares. As of June 30, 2022, the Company determined that a Business Combination is not considered probable, and, therefore, no stock-based compensation expense has been recognized.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Stockholders have agreed, subject to certain limited exceptions, not to transfer, assign or sell any of the Founder Shares until</w:t>
      </w:r>
    </w:p>
    <w:p>
      <w:pPr>
        <w:spacing w:after="0" w:line="27" w:lineRule="exact"/>
        <w:rPr>
          <w:sz w:val="20"/>
          <w:szCs w:val="20"/>
          <w:color w:val="auto"/>
        </w:rPr>
      </w:pPr>
    </w:p>
    <w:p>
      <w:pPr>
        <w:jc w:val="both"/>
        <w:ind w:firstLine="8"/>
        <w:spacing w:after="0" w:line="25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50% of the Founder Shares, the earlier of six months after the completion of a Business Combination and the date on which the closing price of the common stock equals or exceeds $12.50 per share (as adjusted for stock splits, stock dividends, reorganizations, recapitalizations and the like) for any 20 trading days within any 30-trading day period commencing after a Business Combination and (2) with respect to the remaining 50% of the Founder Shares, six months after the completion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 2021, the Company issued an unsecured promissory note to an Initial Stockholder (the “Promissory Note”), pursuant to which the Company could borrow up to an aggregate principal amount of $200,000. The Promissory Note was non-interest bearing and payable on the earlier of the consummation of the Initial Public Offering or the date on which the Company determined not to proceed with the Initial Public Offering. The outstanding balance under the Promissory Note of $200,000 was repaid at the closing of the Initial Public Offering on August 10, 2021. Borrowings under Promissory Note are no longer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and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be repaid upon consummation of a Business Combination, without interest. No Working Capital Loans were outstanding as of June 30, 2022 and December 31,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 and Business Combination Marketing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2021, the Company entered into an underwriting agreement and a business combination marketing agreement with Roth Capital Partners, LLC (“Roth”) and Craig-Hallum Capital Group LLC (“Craig-Hallum”), the underwriters in the Initial Public Offering. The underwriters are related parties of the Company. See Note 6 for a discussion of the business combination marketing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August 5, 2021, the holders of the Founder Shares, as well as the holders of the Private Units (and underlying securities), are entitled to registration rights.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Notwithstanding the foregoing, the holders may not exercise demand or piggyback rights after five (5) and seven (7) years, respectively, from the effective date of the Initial Public Offering and may not exercise demand rights on more than one occasion in respect of all registrable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 business combination marketing agreement entered into on August 5, 2021, the Company engaged Roth and Craig-Hallum, the underwriters in the Initial Public Offering, as advisors in connection with its Business Combination to assist in the transaction structuring and negotiation of a definitive purchase agreement with respect to the Business Combination, hold meetings with the stockholders to discuss the Business Combination and the target’s attributes, introduce the Company to potential investors to purchase its securities in connection with the Business Combination, assist in obtaining stockholder approval for the Business Combination, and assist with financial analysis, presentations, press releases and filings related to the Business Combination. The Company will pay Roth and Craig-Hallum a fee for such services upon the consummation of a Business Combination in an amount equal to, in the aggregate, 4.5% of the gross proceeds of the Initial Public Offering, or $5,175,000. Roth and Craig-Hallum will not be entitled to such fee unless the Company consummates a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50,000,000 shares of common stock with a par value of $0.0001 per share.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and December 31, 2021, there were 3,336,500 shares of common stock issued and outstanding, excluding 11,500,000 shares of common stock subject to possible redemption which are presented as temporary equity.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As of June 30, 2022 and December 31, 2021, there were 5,750,000 Public Warrants and 230,750 Private Warrants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not issue fractional warrants. The Public Warrants will become exercisable 30 days after the completion of a Business Combination.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the registration statement of which the prospectus for the Company’s Initial Public Offering forms a part is not available and a new registration statement covering the shares of common stock issuable upon exercise of the Public Warrants is not effective within 120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The warrants will expire five years from the closing of a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225"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for any 20 trading days within a 30-day trading period commencing after the warrants become exercisable and ending on the third business day prior to the notice of redemption to warrant holders; and</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on exercise of the warrants may be adjusted in certain circumstances including in the event of a stock dividend, extraordinary dividend or recapitalization, reorganization, merger or consolidation. However, except as described below, the warrants will not be adjusted for issuances of shares of common stock at a price below their respective exercise prices.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a Business Combination at an issue price or effective issue price of less than $9.20 per share of common stock (with such issue price or effective issue price to be determined in good faith by the Company’s board of directors),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Company’s common stock during the 20 trading day period starting on the trading day prior to the day on which the Company consummates Business Combination (such price, the “Market Value”) is below $9.20 per share, the exercise price of the warrants will be adjusted (to the nearest cent) to be equal to 115% of the Market Value and the $18.00 per share redemption trigger price described above will be adjusted (to the nearest cent) to be equal to 180% of the Market Price.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with respect to certain registration rights and transfer restrictions, the Private Warrants are identical to the Public Warrants underlying the Units sold in the Initial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9" w:lineRule="exact"/>
        <w:rPr>
          <w:sz w:val="20"/>
          <w:szCs w:val="20"/>
          <w:color w:val="auto"/>
        </w:rPr>
      </w:pPr>
    </w:p>
    <w:p>
      <w:pPr>
        <w:jc w:val="both"/>
        <w:ind w:left="980" w:hanging="647"/>
        <w:spacing w:after="0" w:line="266"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76" w:lineRule="exact"/>
        <w:rPr>
          <w:sz w:val="20"/>
          <w:szCs w:val="20"/>
          <w:color w:val="auto"/>
        </w:rPr>
      </w:pPr>
    </w:p>
    <w:p>
      <w:pPr>
        <w:jc w:val="both"/>
        <w:ind w:left="980" w:right="20" w:hanging="647"/>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jc w:val="both"/>
        <w:ind w:left="980" w:right="2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16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that are measured at fair value on a recurring basis at June 30, 2022 and December 31, 2021 and indicates the fair value hierarchy of the valuation inputs the Company utilized to determine such fair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6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color w:val="auto"/>
              </w:rPr>
              <w:t>$ 116,921,818</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color w:val="auto"/>
              </w:rPr>
              <w:t>$ 116,738,316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financial statements were issued. Based upon this review, other than disclosed below, the Company did not identify any subsequent events that would have required adjustment or disclosure in the condensed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5, 2022, the Company engaged Roth Capital Partners, LLC and Craig-Hallum Capital Group LLC (together, the “financial advisors”) to provide services in connection with a proposed financing by the Company in connection with a business combination. In connection with this agreement the Company may be required to pay fees in connection with their services to the extent that the financing is executed. If during the term of the agreement the Company completes a financing of equity securities, convertible securities or debt of the Company, the Company has agreed to pay the financial advisors a fee in the amount of 4.0% of the gross proceeds raised. Each advisor would receive 50% of any placement agent fee, which will be paid upon the closing of the offering and business combination. The term of the agreement will run until the earlier of the date that the Company completes any Business Combination and otherwise liquidates the funds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report (this “Quarterly Report”) to “we,” “us” or the “Company” refer to Roth CH Acquisition IV Co. References to our “management” or our “management team” refer to our officers and directors.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search for an initial business combination,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blank check company incorporated in Delaware on February 13, 2019. We were formed for the purpose of entering into a merger, share exchange, asset acquisition, stock purchase, recapitalization, reorganization or other similar business combination with one or more businesses or entities, which we refer to herein as our “Business Combination.” We intend to effectuate our Business Combination using cash derived from the proceeds of the Initial Public Offering (as defined below) and the sale of the Private Units (as defined below), our capital stock, debt or a combination of cash, stock and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additional shares of our stock in a Business Combination:</w:t>
      </w:r>
    </w:p>
    <w:p>
      <w:pPr>
        <w:spacing w:after="0" w:line="225"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we issue preferred shares with rights senior to those afforded to our shares of common stock;</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w:t>
      </w:r>
      <w:r>
        <w:rPr>
          <w:rFonts w:ascii="Times New Roman" w:cs="Times New Roman" w:eastAsia="Times New Roman" w:hAnsi="Times New Roman"/>
          <w:sz w:val="16"/>
          <w:szCs w:val="16"/>
          <w:color w:val="auto"/>
        </w:rPr>
        <w:t>t prevailing market prices for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 Business Combination will be successful.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June 30, 2022 were organizational activities, those necessary to prepare for the Initial Public Offering, which is described below, and subsequent to the Initial Public Offering, identifying a target company for a Business Combination. We do not expect to generate any operating revenues until after the completion of our Business Combination, at the earliest. We generate non-operating income in the form of interest income on marketable securities held in the Trust Account (as defined below). We incur expenses as a result of being a public company (for legal, financial reporting, accounting and auditing compliance), as well as for due diligence expenses in connection with searching for, and completing, a Business Combination.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had a net loss of $35,497, which was comprised of operational costs of $180,847, unrealized loss on marketable securities held in Trust Account of $4,277, provision for income taxes of $4,372 and interest earned on marketable securities held in Trust Account of $153,999.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we had a net loss of $157,124, which was comprised of operational costs of $336,254 and provision for income taxes of $4,372, offset by interest earned on marketable securities held in Trust Account of $183,502.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2021, we had net loss of $90, which was comprised of operational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2021, we had net loss of $190, which was comprised of operational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10, 2021, we completed our initial public offering (the “Initial Public Offering”) of 11,500,000 units (the “Units” and, with respect to the shares of common stock included in the Units sold, the “Public Shares”), which included the full exercise by the underwriters of their over-allotment option in the amount of 1,500,000 Units, at $10.00 per Unit, generating gross proceeds of $115,000,000. Simultaneously with the closing of the Initial Public Offering, we completed the sale of 461,500 units (the “Private Units”) at a price of $10.00 per Private Unit in a private placement to certain of the holders of the Company’s shares prior to the Initial Public Offering (the “Initial Stockholders”), generating gross proceeds of $4,615,000.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Initial Public Offering, including the full exercise of the over-allotment option by the underwriters, and the sale of the Private Units, a total of $116,725,000 was placed in a trust account located in the United States (the “Trust Account”). We incurred $1,646,673 of transaction costs, consisting of $1,150,000 of underwriting fees and $496,673 of other offering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cash used in operating activities was $400,925. Net loss of $157,124 was affected by interest earned on marketable securities held in Trust Account of $183,502. Changes in operating assets and liabilities used $60,299 of cash for operating activities.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cash used in operating activities was $640. Net loss of $190 was affected by changes in operating assets and liabilities which used $450 of cash for operating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2022, we had marketable securities held in the Trust Account of $116,921,818 (including approximately $197,000 of interest income) consisting of money market funds which primarily invest in U.S. Treasury securities. Interest income on the balance in the Trust Account may be used by us to pay taxes. Through June 30, 2022, we have not withdrawn any interest earned from the Trust Account. 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we had cash of $401,681.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and certain of our officers and directors (or their affiliates) may, but are not obligated to, loan us funds as may be required (“Working Capital Loans”). If we complete a Business Combination, we would repay the Working Capital Loans out of the proceeds of the Trust Account released to us. Otherwise, the Working Capital Loans would be repaid only out of funds held outside the Trust Account. In the event that a Business Combination does not close, we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be repaid upon consummation of a Business Combination, without interest.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capital through loans or additional investments from the Initial Stockholders and our officers and directors or their affiliates. The Initial Stockholders and our officers and directors or their affiliates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the FASB’s Accounting Standards Update (“ASU”) 2014-15, “Disclosures of Uncertainties about an Entity’s Ability to Continue as a Going Concern,” management has determined that if we are unable to complete a Business Combination by February 10, 2023, then we will cease all operations except for the purpose of liquidating. The date for mandatory liquidation and subsequent dissolution raises substantial doubt about our ability to continue as a going concern. No adjustments have been made to the carrying amounts of assets or liabilities should we be required to liquidate after February 10,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June 30,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as described below.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 business combination marketing agreement entered into on August 5, 2021, we have engaged Roth Capital Partners, LLC (“Roth”) and Craig-Hallum Capital Group LLC (“Craig-Hallum”), the underwriters in the Initial Public Offering, as advisors in connection with our Business Combination to assist us in the transaction structuring and negotiation of a definitive purchase agreement with respect to the Business Combination, hold meetings with our stockholders to discuss the Business Combination and the target’s attributes, introduce us to potential investors to purchase our securities in connection with the Business Combination, assist us in obtaining stockholder approval for the Business Combination, and assist us with financial analysis, presentations, press releases and filings related to the Business Combination. We will pay Roth and Craig-Hallum a fee for such services upon the consummation of a Business Combination in an amount equal to, in the aggregate, 4.5% of the gross proceeds of the Initial Public Offering, or $5,175,000. Roth and Craig-Hallum will not be entitled to such fee unless we consummate a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condensed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by the weighted average number of shares of common stock outstanding during the period. We have two classes of common stock, which are referred to as redeemable common stock and non-redeemable common stock. Income and losses are shared pro rata between the two classes of common stock. Remeasurement associated with the redeemable shares of common stock is excluded from loss per common share as the redemption value approximates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on January 1, 2021. The adoption of ASU 2020-06 did not have an impact on our financial statements.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condensed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2022. Based upon their evaluation, our Chief Executive Officer and Chief Financial Officer concluded that our disclosure controls and procedures (as defined in Rules 13a-15 (e) and 15d-15 (e) under the Exchange Act)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Form 10-Q present fairly in all material respects our financial position, results of operations and cash flows for the period presented.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Controls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quarter ended June 30, 2022 that have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 We have provided a comprehensive list of risk factors in the Annual Report on Form 10-K as filed with the SEC on April 7,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31.1*</w:t>
            </w:r>
          </w:p>
        </w:tc>
        <w:tc>
          <w:tcPr>
            <w:tcW w:w="180" w:type="dxa"/>
            <w:vAlign w:val="bottom"/>
          </w:tcPr>
          <w:p>
            <w:pPr>
              <w:spacing w:after="0"/>
              <w:rPr>
                <w:sz w:val="14"/>
                <w:szCs w:val="14"/>
                <w:color w:val="auto"/>
              </w:rPr>
            </w:pPr>
          </w:p>
        </w:tc>
        <w:tc>
          <w:tcPr>
            <w:tcW w:w="8820" w:type="dxa"/>
            <w:vAlign w:val="bottom"/>
            <w:tcBorders>
              <w:top w:val="single" w:sz="8" w:color="auto"/>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w:t>
            </w: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920" w:type="dxa"/>
            <w:vAlign w:val="bottom"/>
            <w:gridSpan w:val="2"/>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80" w:type="dxa"/>
            <w:vAlign w:val="bottom"/>
          </w:tcPr>
          <w:p>
            <w:pPr>
              <w:spacing w:after="0"/>
              <w:rPr>
                <w:sz w:val="17"/>
                <w:szCs w:val="17"/>
                <w:color w:val="auto"/>
              </w:rPr>
            </w:pPr>
          </w:p>
        </w:tc>
        <w:tc>
          <w:tcPr>
            <w:tcW w:w="88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920" w:type="dxa"/>
            <w:vAlign w:val="bottom"/>
            <w:gridSpan w:val="2"/>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32.1**</w:t>
            </w:r>
          </w:p>
        </w:tc>
        <w:tc>
          <w:tcPr>
            <w:tcW w:w="180" w:type="dxa"/>
            <w:vAlign w:val="bottom"/>
          </w:tcPr>
          <w:p>
            <w:pPr>
              <w:spacing w:after="0"/>
              <w:rPr>
                <w:sz w:val="17"/>
                <w:szCs w:val="17"/>
                <w:color w:val="auto"/>
              </w:rPr>
            </w:pPr>
          </w:p>
        </w:tc>
        <w:tc>
          <w:tcPr>
            <w:tcW w:w="88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w:t>
            </w: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760" w:type="dxa"/>
            <w:vAlign w:val="bottom"/>
            <w:gridSpan w:val="3"/>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32.2**</w:t>
            </w:r>
          </w:p>
        </w:tc>
        <w:tc>
          <w:tcPr>
            <w:tcW w:w="180" w:type="dxa"/>
            <w:vAlign w:val="bottom"/>
          </w:tcPr>
          <w:p>
            <w:pPr>
              <w:spacing w:after="0"/>
              <w:rPr>
                <w:sz w:val="17"/>
                <w:szCs w:val="17"/>
                <w:color w:val="auto"/>
              </w:rPr>
            </w:pPr>
          </w:p>
        </w:tc>
        <w:tc>
          <w:tcPr>
            <w:tcW w:w="8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7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101.INS*</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101.SCH*</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101.CAL*</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101.DEF*</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101.LAB*</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101.PRE*</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80" w:type="dxa"/>
            <w:vAlign w:val="bottom"/>
          </w:tcPr>
          <w:p>
            <w:pPr>
              <w:spacing w:after="0"/>
              <w:rPr>
                <w:sz w:val="20"/>
                <w:szCs w:val="20"/>
                <w:color w:val="auto"/>
              </w:rPr>
            </w:pP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right="120" w:hanging="332"/>
        <w:spacing w:after="0" w:line="253" w:lineRule="auto"/>
        <w:tabs>
          <w:tab w:leader="none" w:pos="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ROTH CH ACQUISITION IV CO.</w:t>
      </w:r>
    </w:p>
    <w:p>
      <w:pPr>
        <w:spacing w:after="0" w:line="223" w:lineRule="exact"/>
        <w:rPr>
          <w:sz w:val="20"/>
          <w:szCs w:val="20"/>
          <w:color w:val="auto"/>
        </w:rPr>
      </w:pPr>
    </w:p>
    <w:p>
      <w:pPr>
        <w:spacing w:after="0"/>
        <w:tabs>
          <w:tab w:leader="none" w:pos="4960" w:val="left"/>
          <w:tab w:leader="none" w:pos="5440" w:val="left"/>
        </w:tabs>
        <w:rPr>
          <w:sz w:val="20"/>
          <w:szCs w:val="20"/>
          <w:color w:val="auto"/>
        </w:rPr>
      </w:pPr>
      <w:r>
        <w:rPr>
          <w:rFonts w:ascii="Times New Roman" w:cs="Times New Roman" w:eastAsia="Times New Roman" w:hAnsi="Times New Roman"/>
          <w:sz w:val="16"/>
          <w:szCs w:val="16"/>
          <w:color w:val="auto"/>
        </w:rPr>
        <w:t>Date: August 12, 2022</w:t>
      </w:r>
      <w:r>
        <w:rPr>
          <w:sz w:val="20"/>
          <w:szCs w:val="20"/>
          <w:color w:val="auto"/>
        </w:rPr>
        <w:tab/>
      </w:r>
      <w:r>
        <w:rPr>
          <w:rFonts w:ascii="Times New Roman" w:cs="Times New Roman" w:eastAsia="Times New Roman" w:hAnsi="Times New Roman"/>
          <w:sz w:val="16"/>
          <w:szCs w:val="16"/>
          <w:color w:val="auto"/>
        </w:rPr>
        <w:t>By:</w:t>
        <w:tab/>
        <w:t>/s/ Byron Roth</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-112395</wp:posOffset>
            </wp:positionV>
            <wp:extent cx="28289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tab/>
        <w:t>Co-Chief Executive Officer and Chairman of the Board</w:t>
      </w:r>
    </w:p>
    <w:p>
      <w:pPr>
        <w:spacing w:after="0" w:line="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13" w:lineRule="exact"/>
        <w:rPr>
          <w:sz w:val="20"/>
          <w:szCs w:val="20"/>
          <w:color w:val="auto"/>
        </w:rPr>
      </w:pPr>
    </w:p>
    <w:p>
      <w:pPr>
        <w:spacing w:after="0"/>
        <w:tabs>
          <w:tab w:leader="none" w:pos="4960" w:val="left"/>
          <w:tab w:leader="none" w:pos="5440" w:val="left"/>
        </w:tabs>
        <w:rPr>
          <w:sz w:val="20"/>
          <w:szCs w:val="20"/>
          <w:color w:val="auto"/>
        </w:rPr>
      </w:pPr>
      <w:r>
        <w:rPr>
          <w:rFonts w:ascii="Times New Roman" w:cs="Times New Roman" w:eastAsia="Times New Roman" w:hAnsi="Times New Roman"/>
          <w:sz w:val="16"/>
          <w:szCs w:val="16"/>
          <w:color w:val="auto"/>
        </w:rPr>
        <w:t>Date: August 12, 2022</w:t>
      </w:r>
      <w:r>
        <w:rPr>
          <w:sz w:val="20"/>
          <w:szCs w:val="20"/>
          <w:color w:val="auto"/>
        </w:rPr>
        <w:tab/>
      </w:r>
      <w:r>
        <w:rPr>
          <w:rFonts w:ascii="Times New Roman" w:cs="Times New Roman" w:eastAsia="Times New Roman" w:hAnsi="Times New Roman"/>
          <w:sz w:val="16"/>
          <w:szCs w:val="16"/>
          <w:color w:val="auto"/>
        </w:rPr>
        <w:t>By:</w:t>
        <w:tab/>
        <w:t>/s/ Gordon Roth</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-112395</wp:posOffset>
            </wp:positionV>
            <wp:extent cx="2828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AND 15D-14(A) UNDER THE SECURITIES EXCHANGE ACT OF 1934, AS ADOPTED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Byron Roth,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Roth CH Acquisition IV Co.;</w:t>
      </w:r>
    </w:p>
    <w:p>
      <w:pPr>
        <w:spacing w:after="0" w:line="225"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20" w:right="160" w:hanging="312"/>
        <w:spacing w:after="0" w:line="266"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40" w:right="180" w:hanging="308"/>
        <w:spacing w:after="0" w:line="266" w:lineRule="auto"/>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Exchange Act Rules 13a-14(a) and 15d-15(a));</w:t>
      </w:r>
    </w:p>
    <w:p>
      <w:pPr>
        <w:spacing w:after="0" w:line="225" w:lineRule="exact"/>
        <w:rPr>
          <w:rFonts w:ascii="Times New Roman" w:cs="Times New Roman" w:eastAsia="Times New Roman" w:hAnsi="Times New Roman"/>
          <w:sz w:val="18"/>
          <w:szCs w:val="18"/>
          <w:color w:val="auto"/>
        </w:rPr>
      </w:pPr>
    </w:p>
    <w:p>
      <w:pPr>
        <w:ind w:left="640" w:right="300" w:hanging="308"/>
        <w:spacing w:after="0" w:line="266" w:lineRule="auto"/>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40" w:right="320" w:hanging="308"/>
        <w:spacing w:after="0" w:line="266" w:lineRule="auto"/>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40" w:hanging="312"/>
        <w:spacing w:after="0" w:line="266"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40" w:right="60" w:hanging="308"/>
        <w:spacing w:after="0" w:line="266" w:lineRule="auto"/>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40" w:right="80" w:hanging="308"/>
        <w:spacing w:after="0" w:line="282" w:lineRule="auto"/>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Byron Roth</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Co-Chief Executive Officer and Chairman of the Board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ind w:left="1000" w:right="940"/>
        <w:spacing w:after="0" w:line="250"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Gordon Roth,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Roth CH Acquisition IV Co.;</w:t>
      </w:r>
    </w:p>
    <w:p>
      <w:pPr>
        <w:spacing w:after="0" w:line="225"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20" w:right="160" w:hanging="312"/>
        <w:spacing w:after="0" w:line="258"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640" w:right="180" w:hanging="308"/>
        <w:spacing w:after="0" w:line="258"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Exchange Act Rules 13a-14(a) and 15d-15(a));</w:t>
      </w:r>
    </w:p>
    <w:p>
      <w:pPr>
        <w:spacing w:after="0" w:line="225" w:lineRule="exact"/>
        <w:rPr>
          <w:rFonts w:ascii="Times New Roman" w:cs="Times New Roman" w:eastAsia="Times New Roman" w:hAnsi="Times New Roman"/>
          <w:sz w:val="18"/>
          <w:szCs w:val="18"/>
          <w:color w:val="auto"/>
        </w:rPr>
      </w:pPr>
    </w:p>
    <w:p>
      <w:pPr>
        <w:ind w:left="640" w:right="300" w:hanging="308"/>
        <w:spacing w:after="0" w:line="266"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40" w:right="320" w:hanging="308"/>
        <w:spacing w:after="0" w:line="266"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40" w:hanging="312"/>
        <w:spacing w:after="0" w:line="26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40" w:right="60" w:hanging="308"/>
        <w:spacing w:after="0" w:line="266"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40" w:right="80" w:hanging="308"/>
        <w:spacing w:after="0" w:line="282"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Gordon Roth</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Roth CH Acquisition IV Co. (the “Company”) on Form 10-Q for the quarterly period ended June 30, 2022, as filed with the Securities and Exchange Commission (the “Report”), I, Byron Roth, Co-Chief Executive Officer and Chairman of the Board of the Company, certify, pursuant to 18 U.S.C. §1350, as adopted pursuant to §906 of the Sarbanes-Oxley Act of 2002, that, to the best of my knowledge:</w:t>
      </w:r>
    </w:p>
    <w:p>
      <w:pPr>
        <w:spacing w:after="0" w:line="16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right="80" w:hanging="308"/>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12,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Byron Roth</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Co-Chief Executive Officer and Chairman of the Board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Roth CH Acquisition IV Co. (the “Company”) on Form 10-Q for the quarterly period ended June 30, 2022, as filed with the Securities and Exchange Commission (the “Report”), I, Gordon Roth, Chief Financial Officer of the Company, certify, pursuant to 18 U.S.C. §1350, as adopted pursuant to §906 of the Sarbanes-Oxley Act of 2002, that, to the best of my knowledge:</w:t>
      </w:r>
    </w:p>
    <w:p>
      <w:pPr>
        <w:spacing w:after="0" w:line="16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right="80" w:hanging="308"/>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12, 2022</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137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Gordon Roth</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lowerRoman"/>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2022-08-15T05:24:57Z</dcterms:created>
  <dcterms:modified xsi:type="dcterms:W3CDTF">2022-08-15T05:24:57Z</dcterms:modified>
</cp:coreProperties>
</file>