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60331.htm"/>
      <w:bookmarkStart w:id="1" w:name="kstygo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bidi w:val="0"/>
        <w:jc w:val="center"/>
        <w:rPr>
          <w:rFonts w:ascii="Times New Roman" w:hAnsi="Times New Roman"/>
          <w:b/>
          <w:color w:val="000000"/>
          <w:sz w:val="48"/>
        </w:rPr>
      </w:pPr>
      <w:r>
        <w:rPr>
          <w:rFonts w:ascii="Times New Roman" w:hAnsi="Times New Roman"/>
          <w:b/>
          <w:color w:val="000000"/>
          <w:sz w:val="48"/>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022" w:type="dxa"/>
        <w:jc w:val="left"/>
        <w:tblInd w:w="0" w:type="dxa"/>
        <w:tblLayout w:type="fixed"/>
        <w:tblCellMar>
          <w:top w:w="28" w:type="dxa"/>
          <w:left w:w="28" w:type="dxa"/>
          <w:bottom w:w="28" w:type="dxa"/>
          <w:right w:w="28" w:type="dxa"/>
        </w:tblCellMar>
      </w:tblPr>
      <w:tblGrid>
        <w:gridCol w:w="2776"/>
        <w:gridCol w:w="1246"/>
      </w:tblGrid>
      <w:tr>
        <w:trPr/>
        <w:tc>
          <w:tcPr>
            <w:tcW w:w="27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983 University Avenue, Suite B,</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Gatos, California</w:t>
            </w:r>
          </w:p>
        </w:tc>
        <w:tc>
          <w:tcPr>
            <w:tcW w:w="12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95032</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402-0802</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May 1, 2026, the registrant had 75,910,794</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statements that are “forward-looking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Forward-looking statements in this Quarterly Report on Form 10-Q may include, for example,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opportunities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meet the continued listing requirements of Nasdaq;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develop and sell its product offerings and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seasonal trends and the cyclical nature of the solar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liquidity and trading of the Company’s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acquire and protect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risks associated with the Company’s dependence on a small number of outside contract manufacturers, primarily in China, Thailand, Vietnam and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working with leading solar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respond to fluctuations in foreign currency exchange rates, trade tariffs or other trade barriers, and political unrest and regulatory changes in the markets into which the Company expands or otherwise operates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enhance future operating and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forecast demand accurately and monetize its inventory on-hand;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or recruit, or changes required in, its officers, key employees or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implement and maintain effective internal controls;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relating to the Company’s business, operations and financial performance, including: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comply with laws and regulations applicable to its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in the markets in which we operate, as well as inflation, instability of financial institutions, rising interest rates and recessionary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compete in the highly competitive and evolving solar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continue to develop new products and innovations to meet constantly evolving customer demands;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expansion plans in residential markets in the U.S. and EMEA and its ability to continue to diversify its customer base;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enter into, successfully maintain and manage relationships with partners and distributors;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ability to acquire or make investments in other businesses, patents, technologies, products or services to grow the business, and realize the anticipated benefits therefrom.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this Quarterly Report on Form 10-Q, in particular the risks described in Part II, Item 1A, “Risk Factors” of this Quarterly Report and in Part I, Item 1A, “Risk Factors” in the Company’s Annual Report on Form 10-K filed with the Securities and Exchange Commission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240" w:after="283"/>
        <w:jc w:val="both"/>
        <w:rPr>
          <w:color w:val="000000"/>
        </w:rPr>
      </w:pPr>
      <w:r>
        <w:rPr>
          <w:color w:val="000000"/>
        </w:rPr>
        <w:t>“</w:t>
      </w:r>
      <w:r>
        <w:rPr>
          <w:rFonts w:ascii="Times New Roman" w:hAnsi="Times New Roman"/>
          <w:color w:val="000000"/>
          <w:sz w:val="20"/>
        </w:rPr>
        <w:t>SEC”) on March 19, 2026 (the “2025 Annual Report”) and the Company’s other filings with the SEC.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5"/>
        <w:gridCol w:w="9058"/>
        <w:gridCol w:w="362"/>
      </w:tblGrid>
      <w:tr>
        <w:trPr/>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9058" w:type="dxa"/>
            <w:tcBorders/>
            <w:shd w:fill="FFFFFF" w:val="clear"/>
            <w:vAlign w:val="center"/>
          </w:tcPr>
          <w:p>
            <w:pPr>
              <w:pStyle w:val="TableContents"/>
              <w:bidi w:val="0"/>
              <w:spacing w:before="0" w:after="283"/>
              <w:jc w:val="left"/>
              <w:rPr>
                <w:sz w:val="4"/>
                <w:szCs w:val="4"/>
              </w:rPr>
            </w:pPr>
            <w:r>
              <w:rPr>
                <w:sz w:val="4"/>
                <w:szCs w:val="4"/>
              </w:rPr>
            </w:r>
          </w:p>
        </w:tc>
        <w:tc>
          <w:tcPr>
            <w:tcW w:w="362" w:type="dxa"/>
            <w:tcBorders/>
            <w:shd w:fill="FFFFFF" w:val="clear"/>
            <w:vAlign w:val="center"/>
          </w:tcPr>
          <w:p>
            <w:pPr>
              <w:pStyle w:val="TableContents"/>
              <w:bidi w:val="0"/>
              <w:spacing w:before="0" w:after="283"/>
              <w:jc w:val="left"/>
              <w:rPr>
                <w:sz w:val="4"/>
                <w:szCs w:val="4"/>
              </w:rPr>
            </w:pPr>
            <w:r>
              <w:rPr>
                <w:sz w:val="4"/>
                <w:szCs w:val="4"/>
              </w:rPr>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FINANCIAL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2026, and December 31, 2025</w:t>
              </w:r>
            </w:hyperlink>
            <w:hyperlink w:anchor="condensed_consolidated_balance_sheets">
              <w:r>
                <w:rPr>
                  <w:rStyle w:val="InternetLink"/>
                  <w:rFonts w:ascii="Times New Roman" w:hAnsi="Times New Roman"/>
                  <w:color w:val="0000FF"/>
                  <w:sz w:val="20"/>
                </w:rPr>
                <w:t xml:space="preserve"> </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condensed_stmt_of_ops_and_comp_income">
              <w:r>
                <w:rPr>
                  <w:rStyle w:val="InternetLink"/>
                  <w:rFonts w:ascii="Times New Roman" w:hAnsi="Times New Roman"/>
                  <w:color w:val="0000FF"/>
                  <w:sz w:val="20"/>
                  <w:u w:val="single"/>
                </w:rPr>
                <w:t>Condensed Consolidated Statements of Operations and Comprehensive Loss for the Three Months ended March 31,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statements_of_equity">
              <w:r>
                <w:rPr>
                  <w:rStyle w:val="InternetLink"/>
                  <w:rFonts w:ascii="Times New Roman" w:hAnsi="Times New Roman"/>
                  <w:color w:val="0000FF"/>
                  <w:sz w:val="20"/>
                  <w:u w:val="single"/>
                </w:rPr>
                <w:t>Condensed Consolidated Statements of Stockholders’ Equity for the Three Months ended March 31,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condensed_consolidated_stmt_of_cash_flow">
              <w:r>
                <w:rPr>
                  <w:rStyle w:val="InternetLink"/>
                  <w:rFonts w:ascii="Times New Roman" w:hAnsi="Times New Roman"/>
                  <w:color w:val="0000FF"/>
                  <w:sz w:val="20"/>
                  <w:u w:val="single"/>
                </w:rPr>
                <w:t>Condensed Consolidated Statements of Cash Flows for the Three Months ended March 31, 2026, and 2025</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notes_to_consolidated_condensed_fin_stmt">
              <w:r>
                <w:rPr>
                  <w:rStyle w:val="InternetLink"/>
                  <w:rFonts w:ascii="Times New Roman" w:hAnsi="Times New Roman"/>
                  <w:color w:val="0000FF"/>
                  <w:sz w:val="20"/>
                  <w:u w:val="single"/>
                </w:rPr>
                <w:t>Notes to Condensed Consolidated 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OTHER INFORMATION</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1A.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3.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tem_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left"/>
        <w:rPr>
          <w:rFonts w:ascii="Times New Roman" w:hAnsi="Times New Roman"/>
          <w:b/>
          <w:i/>
          <w:color w:val="000000"/>
          <w:sz w:val="18"/>
        </w:rPr>
      </w:pPr>
      <w:bookmarkStart w:id="2" w:name="item_1_financial_statements_unaudited"/>
      <w:bookmarkEnd w:id="2"/>
      <w:r>
        <w:rPr>
          <w:rFonts w:ascii="Times New Roman" w:hAnsi="Times New Roman"/>
          <w:b/>
          <w:i/>
          <w:color w:val="000000"/>
          <w:sz w:val="18"/>
        </w:rPr>
        <w:t>Item 1. Financial Statements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3"/>
        <w:gridCol w:w="146"/>
        <w:gridCol w:w="196"/>
        <w:gridCol w:w="751"/>
        <w:gridCol w:w="166"/>
        <w:gridCol w:w="146"/>
        <w:gridCol w:w="214"/>
        <w:gridCol w:w="820"/>
        <w:gridCol w:w="713"/>
      </w:tblGrid>
      <w:tr>
        <w:trPr/>
        <w:tc>
          <w:tcPr>
            <w:tcW w:w="7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7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92"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Accounts receivable, net of allowance for credit losses of $1,359</w:t>
            </w:r>
            <w:r>
              <w:rPr>
                <w:rFonts w:ascii="Times New Roman" w:hAnsi="Times New Roman"/>
                <w:color w:val="000000"/>
                <w:sz w:val="20"/>
              </w:rPr>
              <w:t> </w:t>
            </w:r>
            <w:r>
              <w:rPr>
                <w:rFonts w:ascii="Times New Roman" w:hAnsi="Times New Roman"/>
                <w:color w:val="000000"/>
                <w:sz w:val="18"/>
              </w:rPr>
              <w:t>and $356</w:t>
            </w:r>
            <w:r>
              <w:rPr>
                <w:rFonts w:ascii="Times New Roman" w:hAnsi="Times New Roman"/>
                <w:color w:val="000000"/>
                <w:sz w:val="20"/>
              </w:rPr>
              <w:t> </w:t>
            </w:r>
            <w:r>
              <w:rPr>
                <w:rFonts w:ascii="Times New Roman" w:hAnsi="Times New Roman"/>
                <w:color w:val="000000"/>
                <w:sz w:val="18"/>
              </w:rPr>
              <w:t>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13,895</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31,286</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57,999</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78,037</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9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29,196</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7,129</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38,768</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8,718</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50,414</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shares authorized; 75,859,828</w:t>
            </w:r>
            <w:r>
              <w:rPr>
                <w:rFonts w:ascii="Times New Roman" w:hAnsi="Times New Roman"/>
                <w:color w:val="000000"/>
                <w:sz w:val="20"/>
              </w:rPr>
              <w:t> </w:t>
            </w:r>
            <w:r>
              <w:rPr>
                <w:rFonts w:ascii="Times New Roman" w:hAnsi="Times New Roman"/>
                <w:color w:val="000000"/>
                <w:sz w:val="18"/>
              </w:rPr>
              <w:t>and 70,424,566</w:t>
            </w:r>
            <w:r>
              <w:rPr>
                <w:rFonts w:ascii="Times New Roman" w:hAnsi="Times New Roman"/>
                <w:color w:val="000000"/>
                <w:sz w:val="20"/>
              </w:rPr>
              <w:t> </w:t>
            </w:r>
            <w:r>
              <w:rPr>
                <w:rFonts w:ascii="Times New Roman" w:hAnsi="Times New Roman"/>
                <w:color w:val="000000"/>
                <w:sz w:val="18"/>
              </w:rPr>
              <w:t>shares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168,022</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(140,406</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705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27,623</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05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78,037</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4" w:name="condensed_stmt_of_ops_and_comp_income"/>
      <w:bookmarkEnd w:id="4"/>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129" w:type="dxa"/>
        <w:jc w:val="left"/>
        <w:tblInd w:w="0" w:type="dxa"/>
        <w:tblLayout w:type="fixed"/>
        <w:tblCellMar>
          <w:top w:w="28" w:type="dxa"/>
          <w:left w:w="28" w:type="dxa"/>
          <w:bottom w:w="28" w:type="dxa"/>
          <w:right w:w="28" w:type="dxa"/>
        </w:tblCellMar>
      </w:tblPr>
      <w:tblGrid>
        <w:gridCol w:w="6466"/>
        <w:gridCol w:w="146"/>
        <w:gridCol w:w="211"/>
        <w:gridCol w:w="1036"/>
        <w:gridCol w:w="166"/>
        <w:gridCol w:w="146"/>
        <w:gridCol w:w="211"/>
        <w:gridCol w:w="1036"/>
        <w:gridCol w:w="71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72,578,839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61,657,718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72,578,839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61,657,718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5" w:name="statements_of_equity"/>
      <w:bookmarkEnd w:id="5"/>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765"/>
        <w:gridCol w:w="146"/>
        <w:gridCol w:w="146"/>
        <w:gridCol w:w="916"/>
        <w:gridCol w:w="166"/>
        <w:gridCol w:w="146"/>
        <w:gridCol w:w="228"/>
        <w:gridCol w:w="403"/>
        <w:gridCol w:w="146"/>
        <w:gridCol w:w="146"/>
        <w:gridCol w:w="146"/>
        <w:gridCol w:w="196"/>
        <w:gridCol w:w="691"/>
        <w:gridCol w:w="166"/>
        <w:gridCol w:w="146"/>
        <w:gridCol w:w="196"/>
        <w:gridCol w:w="751"/>
        <w:gridCol w:w="166"/>
        <w:gridCol w:w="146"/>
        <w:gridCol w:w="289"/>
        <w:gridCol w:w="891"/>
        <w:gridCol w:w="213"/>
      </w:tblGrid>
      <w:tr>
        <w:trPr/>
        <w:tc>
          <w:tcPr>
            <w:tcW w:w="3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1"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70,424,566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performance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registered direct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and performance stock awards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75,859,828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40,846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54"/>
        <w:gridCol w:w="146"/>
        <w:gridCol w:w="146"/>
        <w:gridCol w:w="916"/>
        <w:gridCol w:w="166"/>
        <w:gridCol w:w="146"/>
        <w:gridCol w:w="228"/>
        <w:gridCol w:w="403"/>
        <w:gridCol w:w="146"/>
        <w:gridCol w:w="146"/>
        <w:gridCol w:w="146"/>
        <w:gridCol w:w="196"/>
        <w:gridCol w:w="691"/>
        <w:gridCol w:w="146"/>
        <w:gridCol w:w="146"/>
        <w:gridCol w:w="196"/>
        <w:gridCol w:w="751"/>
        <w:gridCol w:w="166"/>
        <w:gridCol w:w="146"/>
        <w:gridCol w:w="523"/>
        <w:gridCol w:w="925"/>
        <w:gridCol w:w="166"/>
        <w:gridCol w:w="146"/>
        <w:gridCol w:w="268"/>
        <w:gridCol w:w="783"/>
        <w:gridCol w:w="213"/>
      </w:tblGrid>
      <w:tr>
        <w:trPr/>
        <w:tc>
          <w:tcPr>
            <w:tcW w:w="2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2"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60,800,130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61,914,519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mt_of_cash_flow"/>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both"/>
        <w:rPr/>
      </w:pPr>
      <w:r>
        <w:rPr/>
        <w:t> </w:t>
      </w:r>
    </w:p>
    <w:tbl>
      <w:tblPr>
        <w:tblW w:w="9859" w:type="dxa"/>
        <w:jc w:val="left"/>
        <w:tblInd w:w="0" w:type="dxa"/>
        <w:tblLayout w:type="fixed"/>
        <w:tblCellMar>
          <w:top w:w="28" w:type="dxa"/>
          <w:left w:w="28" w:type="dxa"/>
          <w:bottom w:w="28" w:type="dxa"/>
          <w:right w:w="28" w:type="dxa"/>
        </w:tblCellMar>
      </w:tblPr>
      <w:tblGrid>
        <w:gridCol w:w="5176"/>
        <w:gridCol w:w="746"/>
        <w:gridCol w:w="196"/>
        <w:gridCol w:w="661"/>
        <w:gridCol w:w="746"/>
        <w:gridCol w:w="746"/>
        <w:gridCol w:w="196"/>
        <w:gridCol w:w="601"/>
        <w:gridCol w:w="791"/>
      </w:tblGrid>
      <w:tr>
        <w:trPr/>
        <w:tc>
          <w:tcPr>
            <w:tcW w:w="517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to write down inventories to net realizable value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allowance for credit losses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interest on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(15,035</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Warranty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long-term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(9,252</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at-the-market offering</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registered direct offering</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offering costs related to registered direct offering</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restricted and performance stock awards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options exercised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3,904</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7,670</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11,574</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505" w:type="dxa"/>
        <w:jc w:val="left"/>
        <w:tblInd w:w="0" w:type="dxa"/>
        <w:tblLayout w:type="fixed"/>
        <w:tblCellMar>
          <w:top w:w="28" w:type="dxa"/>
          <w:left w:w="28" w:type="dxa"/>
          <w:bottom w:w="28" w:type="dxa"/>
          <w:right w:w="28" w:type="dxa"/>
        </w:tblCellMar>
      </w:tblPr>
      <w:tblGrid>
        <w:gridCol w:w="6171"/>
        <w:gridCol w:w="346"/>
        <w:gridCol w:w="242"/>
        <w:gridCol w:w="427"/>
        <w:gridCol w:w="427"/>
        <w:gridCol w:w="427"/>
        <w:gridCol w:w="242"/>
        <w:gridCol w:w="632"/>
        <w:gridCol w:w="591"/>
      </w:tblGrid>
      <w:tr>
        <w:trPr/>
        <w:tc>
          <w:tcPr>
            <w:tcW w:w="6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Italy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Israel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 of use assets obtained in exchange for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notes_to_consolidated_condensed_fin_stmt"/>
      <w:bookmarkEnd w:id="7"/>
      <w:r>
        <w:rPr>
          <w:rFonts w:ascii="Times New Roman" w:hAnsi="Times New Roman"/>
          <w:b/>
          <w:color w:val="000000"/>
          <w:sz w:val="20"/>
        </w:rPr>
        <w:t>NOTES TO CONDENSED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Nature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and subsidiaries (together, the “Company”) consists of Tigo Energy, Inc. (“Tigo”), its wholly-owned direct and indirect subsidiaries: Tigo Energy MergeCo, Inc. (f/k/a Tigo Energy, Inc.) (“Legacy Tigo”), Tigo Energy Brasil Ltda., Tigo Energy Philippines Inc., Tigo Energy Israel Ltd., Tigo Energy AI Ltd. (f/k/a Foresight Energy, Ltd. (“fSight”)), Tigo Energy Italy SRL, Tigo Energy Equipment Trading (Suzhou) Co., Ltd. and Tigo Energy Australia Pty Ltd.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By combining its MLPE and solar optimizer technology with intelligent, cloud-based software capabilities, the Company enables advanced energy monitoring, system diagnostics, and real-time control. These smart hardware and software solutions enhance system performance, lower operating costs, and ensure compliance with safety regulations, including rapid shutdown requirements. In addition to MLPE, the Company develops and manufactures inverters and battery energy storage systems for the residential solar-plus storage market, further expanding its suite of solutions for efficient and reliable energy management. The Company is headquartered in Los Gatos, California, with offices in Europe, Asia, and the Middle East.</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wholly-owned subsidiaries. All intercompany balances and transactions have been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net in the condensed consolidated statements of operations and comprehensive loss and were not material for the three months ended March 31,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March 31, 2026 and its condensed consolidated statements of operations and comprehensive loss, cash flows, and stockholders’ equity for the three months ended March 31, 2026, and 2025. Operating results for the three months ended March 31, 2026, are not necessarily indicative of the results that may be expected for the full year ending December 31, 2026. The unaudited condensed consolidated financial statements, presented herein, do not contain all of the required disclosures under GAAP for annual consolidated financial statements. The condensed consolidated balance sheet as of December 31, 2025, has been derived from the audited consolidated balance sheet as of that date. These unaudited condensed consolidated financial statements should be read in conjunction with the audited consolidated financial statements and notes thereto included in our 2025 Annual Report, which was filed with the SEC on March 19, 2026.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for the year ended December 31, 2025, which are included in the Company’s 2025 Annual Report filed with the SEC on March 19,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sz w:val="20"/>
        </w:rPr>
      </w:pPr>
      <w:r>
        <w:rPr>
          <w:rFonts w:ascii="Times New Roman" w:hAnsi="Times New Roman"/>
          <w:color w:val="231F20"/>
          <w:sz w:val="20"/>
        </w:rPr>
        <w:t>T</w:t>
      </w:r>
      <w:r>
        <w:rPr>
          <w:rFonts w:ascii="Times New Roman" w:hAnsi="Times New Roman"/>
          <w:color w:val="000000"/>
          <w:sz w:val="20"/>
        </w:rPr>
        <w:t>he preparation of the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Key estimates in the condensed consolidated financial statements include revenue recognition, fair value of investments, allowance for credit losses, inventory valuation, impairment of long-lived assets, fair value of acquired intangible assets and goodwill, useful lives of acquired intangible assets and property and equipment, product warranty liabilities, incremental borrowing rate for right of use assets and lease liability, valuation allowance on deferred tax assets, assessment of probability of vesting of performance-based equity awards and stock-based compensation, including the underlying fair value of the common stock. These estimates are based on information available as of the date of the financial statements; therefore, actual results could differ materially from those estimates due to risks and uncertainties.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Company’s CODM is the Chief Executive Officer (the “CEO”). The Company has one business activity — the design, development and sale of solar energy optimization solutions. There are no segment managers who are held accountable for operations, operating results or plans for levels or components below the consolidated unit level. Accordingly, management has determined that the Company has a single operating and reportable segment. The CODM assesses performance for the Company, monitors budget versus actual results and determines how to allocate resources based on consolidated net loss as reported in the condensed consolidated statements of operations and comprehensive loss. There are no other significant expense categories regularly provided to the CODM that are not already included in the primary financial statements herein.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Customer Concentration</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For the three months ended March 31, 2026, </w:t>
      </w:r>
      <w:r>
        <w:rPr>
          <w:rFonts w:ascii="Times New Roman" w:hAnsi="Times New Roman"/>
          <w:color w:val="000000"/>
          <w:sz w:val="20"/>
        </w:rPr>
        <w:t xml:space="preserve">no customer accounted for 10% or more of total net revenue or accounts receivable.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 xml:space="preserve">ASU No. 2023-09, “Improvements to Income Tax Disclosures” </w:t>
      </w:r>
      <w:r>
        <w:rPr>
          <w:rFonts w:ascii="Times New Roman" w:hAnsi="Times New Roman"/>
          <w:color w:val="000000"/>
          <w:sz w:val="20"/>
        </w:rPr>
        <w:t>(“Topic 740”).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As previously disclosed in the Company’s 2025 Annual Report, we have adopted and applied the guidance under the ASU using the prospective method.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July 2025, the FASB issued ASU No. </w:t>
      </w:r>
      <w:r>
        <w:rPr>
          <w:rFonts w:ascii="Times New Roman" w:hAnsi="Times New Roman"/>
          <w:i/>
          <w:color w:val="000000"/>
          <w:sz w:val="20"/>
        </w:rPr>
        <w:t>2025-05 — Financial Instruments — Credit Losses (Topic 326): Measurement of Credit Losses for Accounts Receivable and Contract Assets</w:t>
      </w:r>
      <w:r>
        <w:rPr>
          <w:rFonts w:ascii="Times New Roman" w:hAnsi="Times New Roman"/>
          <w:color w:val="000000"/>
          <w:sz w:val="20"/>
        </w:rPr>
        <w:t>, which added a practical expedient that assumes that current conditions as of the balance sheet date do not change for the remaining life of the asset when estimating expected credit losses for current accounts receivable and current contract assets. The guidance is effective for annual periods beginning after December 15, 2025. The Company adopted this ASU on the effective date and there was not a material impact on the Company’s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 xml:space="preserve">ASU 2024-03, “Income Statement — Reporting Comprehensive Income — Expense Disaggregation Disclosures </w:t>
      </w:r>
      <w:r>
        <w:rPr>
          <w:rFonts w:ascii="Times New Roman" w:hAnsi="Times New Roman"/>
          <w:color w:val="000000"/>
          <w:sz w:val="20"/>
        </w:rPr>
        <w:t>(“Subtopic 220-40”)</w:t>
      </w:r>
      <w:r>
        <w:rPr>
          <w:rFonts w:ascii="Times New Roman" w:hAnsi="Times New Roman"/>
          <w:i/>
          <w:color w:val="000000"/>
          <w:sz w:val="20"/>
        </w:rPr>
        <w:t xml:space="preserve">: Disaggregation of Income (Loss) Statement Expenses” </w:t>
      </w:r>
      <w:r>
        <w:rPr>
          <w:rFonts w:ascii="Times New Roman" w:hAnsi="Times New Roman"/>
          <w:color w:val="000000"/>
          <w:sz w:val="20"/>
        </w:rPr>
        <w:t xml:space="preserve">(“ASU 2024-03”). ASU 2024-03 requires disaggregation of certain costs and expenses included in each relevant expense caption on the Company’s condensed </w:t>
      </w:r>
      <w:r>
        <w:rPr>
          <w:rFonts w:ascii="Times New Roman" w:hAnsi="Times New Roman"/>
          <w:color w:val="231F20"/>
          <w:sz w:val="20"/>
        </w:rPr>
        <w:t>consolidated statements of operations and comprehensive loss</w:t>
      </w:r>
      <w:r>
        <w:rPr>
          <w:rFonts w:ascii="Times New Roman" w:hAnsi="Times New Roman"/>
          <w:color w:val="000000"/>
          <w:sz w:val="20"/>
        </w:rPr>
        <w:t xml:space="preserve"> in a separate note to the financial statements at each interim and annual reporting period, including amounts of purchases of inventory, employee compensation, depreciation, and intangible asset amortization. ASU 2024-03 is effective fiscal years beginning after December 15, 2026, and interim reporting periods within annual reporting periods beginning after December 15, 2027, with early adoption permitted. The Company is currently evaluating the impact of adopting ASU 2024-03.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No. </w:t>
      </w:r>
      <w:r>
        <w:rPr>
          <w:rFonts w:ascii="Times New Roman" w:hAnsi="Times New Roman"/>
          <w:i/>
          <w:color w:val="000000"/>
          <w:sz w:val="20"/>
        </w:rPr>
        <w:t xml:space="preserve">2025-06—Intangibles—Goodwill and Other—Internal-Use Software (Subtopic 350-40): Targeted Improvements to the Accounting for Internal-Use Software, </w:t>
      </w:r>
      <w:r>
        <w:rPr>
          <w:rFonts w:ascii="Times New Roman" w:hAnsi="Times New Roman"/>
          <w:color w:val="000000"/>
          <w:sz w:val="20"/>
        </w:rPr>
        <w:t xml:space="preserve">which removed the language around project stages that was used to assess when costs could be capitalized for an internal-use software. The update also requires internal-use software to be disclosed under the </w:t>
      </w:r>
      <w:r>
        <w:rPr>
          <w:rFonts w:ascii="Times New Roman" w:hAnsi="Times New Roman"/>
          <w:i/>
          <w:color w:val="000000"/>
          <w:sz w:val="20"/>
        </w:rPr>
        <w:t xml:space="preserve">ASC 360 Property, Plant, and Equipment guidance. </w:t>
      </w:r>
      <w:r>
        <w:rPr>
          <w:rFonts w:ascii="Times New Roman" w:hAnsi="Times New Roman"/>
          <w:color w:val="000000"/>
          <w:sz w:val="20"/>
        </w:rPr>
        <w:t>The guidance is effective for annual periods beginning after December 15, 2027. The Company is currently evaluating the impact of adopting ASU 2025-06.</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had a material impact on the entity. ASU 2025-11 is effective for fiscal years beginning after December 15, 2027, including interim periods within those fiscal years, with early adoption permitted. The Company is currently evaluating the impact of adopting ASU 2025-11.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of common stock is computed by dividing net loss by the weighted-average number of shares of common stock outstanding during each period, without consideration for potential dilutive shares of common stock. Diluted net loss per share of common stock is computed by dividing the net loss by the weighted-average number of common share equivalents outstanding for the period determined using the treasury-stock method and if-converted method, as applicable. In periods in which the Company reports a net loss, diluted net loss per share will be the same as basic net loss per share since dilutive shares are not assumed to have been issued if their effect is antidilutive. As a result, for the periods in which the Company experienced a net loss, the weighted-average shares used to calculate both basic and diluted net loss per share are the same.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to common stockholders:</w:t>
      </w:r>
    </w:p>
    <w:tbl>
      <w:tblPr>
        <w:tblW w:w="9759" w:type="dxa"/>
        <w:jc w:val="left"/>
        <w:tblInd w:w="0" w:type="dxa"/>
        <w:tblLayout w:type="fixed"/>
        <w:tblCellMar>
          <w:top w:w="28" w:type="dxa"/>
          <w:left w:w="28" w:type="dxa"/>
          <w:bottom w:w="28" w:type="dxa"/>
          <w:right w:w="28" w:type="dxa"/>
        </w:tblCellMar>
      </w:tblPr>
      <w:tblGrid>
        <w:gridCol w:w="6396"/>
        <w:gridCol w:w="146"/>
        <w:gridCol w:w="211"/>
        <w:gridCol w:w="1036"/>
        <w:gridCol w:w="166"/>
        <w:gridCol w:w="146"/>
        <w:gridCol w:w="211"/>
        <w:gridCol w:w="1036"/>
        <w:gridCol w:w="411"/>
      </w:tblGrid>
      <w:tr>
        <w:trPr/>
        <w:tc>
          <w:tcPr>
            <w:tcW w:w="6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72,578,839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61,657,718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excluded the effect of the below elements from our calculation of diluted loss per share, as their inclusion would have been anti-dilutive. These amounts represent the number of instruments outstanding at the end of the period. </w:t>
      </w:r>
    </w:p>
    <w:p>
      <w:pPr>
        <w:pStyle w:val="TextBody"/>
        <w:bidi w:val="0"/>
        <w:jc w:val="left"/>
        <w:rPr/>
      </w:pPr>
      <w:r>
        <w:rPr/>
        <w:t> </w:t>
      </w:r>
    </w:p>
    <w:tbl>
      <w:tblPr>
        <w:tblW w:w="9199" w:type="dxa"/>
        <w:jc w:val="left"/>
        <w:tblInd w:w="0" w:type="dxa"/>
        <w:tblLayout w:type="fixed"/>
        <w:tblCellMar>
          <w:top w:w="28" w:type="dxa"/>
          <w:left w:w="28" w:type="dxa"/>
          <w:bottom w:w="28" w:type="dxa"/>
          <w:right w:w="28" w:type="dxa"/>
        </w:tblCellMar>
      </w:tblPr>
      <w:tblGrid>
        <w:gridCol w:w="6361"/>
        <w:gridCol w:w="146"/>
        <w:gridCol w:w="146"/>
        <w:gridCol w:w="781"/>
        <w:gridCol w:w="146"/>
        <w:gridCol w:w="146"/>
        <w:gridCol w:w="146"/>
        <w:gridCol w:w="1036"/>
        <w:gridCol w:w="291"/>
      </w:tblGrid>
      <w:tr>
        <w:trPr/>
        <w:tc>
          <w:tcPr>
            <w:tcW w:w="6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performance stock units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4,759,548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10,065,409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its financial assets and liabilities at fair value on a recurring basis using a hierarchy that prioritizes the inputs to valuation techniques used to measure fair value. Authoritative guidance establishes three levels of the fair value hierarchy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3"/>
        <w:gridCol w:w="9562"/>
      </w:tblGrid>
      <w:tr>
        <w:trPr/>
        <w:tc>
          <w:tcPr>
            <w:tcW w:w="643" w:type="dxa"/>
            <w:tcBorders/>
            <w:vAlign w:val="center"/>
          </w:tcPr>
          <w:p>
            <w:pPr>
              <w:pStyle w:val="TableContents"/>
              <w:bidi w:val="0"/>
              <w:spacing w:before="0" w:after="283"/>
              <w:jc w:val="left"/>
              <w:rPr>
                <w:sz w:val="4"/>
                <w:szCs w:val="4"/>
              </w:rPr>
            </w:pPr>
            <w:r>
              <w:rPr>
                <w:sz w:val="4"/>
                <w:szCs w:val="4"/>
              </w:rPr>
            </w:r>
          </w:p>
        </w:tc>
        <w:tc>
          <w:tcPr>
            <w:tcW w:w="9562" w:type="dxa"/>
            <w:tcBorders/>
            <w:vAlign w:val="center"/>
          </w:tcPr>
          <w:p>
            <w:pPr>
              <w:pStyle w:val="TableContents"/>
              <w:bidi w:val="0"/>
              <w:spacing w:before="0" w:after="283"/>
              <w:jc w:val="left"/>
              <w:rPr>
                <w:sz w:val="4"/>
                <w:szCs w:val="4"/>
              </w:rPr>
            </w:pPr>
            <w:r>
              <w:rPr>
                <w:sz w:val="4"/>
                <w:szCs w:val="4"/>
              </w:rPr>
            </w:r>
          </w:p>
        </w:tc>
      </w:tr>
      <w:tr>
        <w:trPr/>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Level 1:</w:t>
            </w:r>
          </w:p>
        </w:tc>
        <w:tc>
          <w:tcPr>
            <w:tcW w:w="95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Quoted market prices in active markets for identical assets or liabilities;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2:</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Quoted prices for similar instruments in active markets; quoted prices for identical or similar instruments in markets that are not active; and model-derived valuations in which significant inputs and significant value drivers are observable in active markets; and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i/>
                <w:color w:val="000000"/>
                <w:sz w:val="20"/>
              </w:rPr>
            </w:pPr>
            <w:r>
              <w:rPr>
                <w:rFonts w:ascii="Times New Roman" w:hAnsi="Times New Roman"/>
                <w:i/>
                <w:color w:val="000000"/>
                <w:sz w:val="20"/>
              </w:rPr>
              <w:t>Level 3:</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Fair value measurements derived from valuation techniques in which one or more significant inputs or significant value drivers are unobservable.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rPr/>
      </w:pPr>
      <w:r>
        <w:rPr/>
        <w:t> </w:t>
      </w:r>
    </w:p>
    <w:tbl>
      <w:tblPr>
        <w:tblW w:w="5642" w:type="dxa"/>
        <w:jc w:val="left"/>
        <w:tblInd w:w="0" w:type="dxa"/>
        <w:tblLayout w:type="fixed"/>
        <w:tblCellMar>
          <w:top w:w="28" w:type="dxa"/>
          <w:left w:w="28" w:type="dxa"/>
          <w:bottom w:w="28" w:type="dxa"/>
          <w:right w:w="28" w:type="dxa"/>
        </w:tblCellMar>
      </w:tblPr>
      <w:tblGrid>
        <w:gridCol w:w="2271"/>
        <w:gridCol w:w="146"/>
        <w:gridCol w:w="250"/>
        <w:gridCol w:w="500"/>
        <w:gridCol w:w="146"/>
        <w:gridCol w:w="146"/>
        <w:gridCol w:w="284"/>
        <w:gridCol w:w="466"/>
        <w:gridCol w:w="146"/>
        <w:gridCol w:w="146"/>
        <w:gridCol w:w="284"/>
        <w:gridCol w:w="466"/>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2026, there were no transfers between Level 1, Level 2 and Level 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w:t>
      </w:r>
    </w:p>
    <w:p>
      <w:pPr>
        <w:pStyle w:val="TextBody"/>
        <w:bidi w:val="0"/>
        <w:jc w:val="left"/>
        <w:rPr/>
      </w:pPr>
      <w:r>
        <w:rPr/>
        <w:t> </w:t>
      </w:r>
    </w:p>
    <w:tbl>
      <w:tblPr>
        <w:tblW w:w="4281" w:type="dxa"/>
        <w:jc w:val="left"/>
        <w:tblInd w:w="0" w:type="dxa"/>
        <w:tblLayout w:type="fixed"/>
        <w:tblCellMar>
          <w:top w:w="28" w:type="dxa"/>
          <w:left w:w="28" w:type="dxa"/>
          <w:bottom w:w="28" w:type="dxa"/>
          <w:right w:w="28" w:type="dxa"/>
        </w:tblCellMar>
      </w:tblPr>
      <w:tblGrid>
        <w:gridCol w:w="1546"/>
        <w:gridCol w:w="146"/>
        <w:gridCol w:w="245"/>
        <w:gridCol w:w="785"/>
        <w:gridCol w:w="169"/>
        <w:gridCol w:w="169"/>
        <w:gridCol w:w="245"/>
        <w:gridCol w:w="785"/>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Our net revenues generated from Italy, Czech Republic and Germany represented 18.9%, 16.4%</w:t>
      </w:r>
      <w:r>
        <w:rPr>
          <w:rFonts w:ascii="Times New Roman" w:hAnsi="Times New Roman"/>
          <w:color w:val="000000"/>
          <w:sz w:val="20"/>
        </w:rPr>
        <w:t xml:space="preserve"> </w:t>
      </w:r>
      <w:r>
        <w:rPr>
          <w:rFonts w:ascii="Times New Roman" w:hAnsi="Times New Roman"/>
          <w:color w:val="000000"/>
          <w:sz w:val="16"/>
        </w:rPr>
        <w:t>and 10.0%</w:t>
      </w:r>
      <w:r>
        <w:rPr>
          <w:rFonts w:ascii="Times New Roman" w:hAnsi="Times New Roman"/>
          <w:color w:val="000000"/>
          <w:sz w:val="20"/>
        </w:rPr>
        <w:t xml:space="preserve"> </w:t>
      </w:r>
      <w:r>
        <w:rPr>
          <w:rFonts w:ascii="Times New Roman" w:hAnsi="Times New Roman"/>
          <w:color w:val="000000"/>
          <w:sz w:val="16"/>
        </w:rPr>
        <w:t>of our total net revenue for the three months ended March 31, 2026, respectively. Our net revenues generated from Germany, the United Kingdom, Italy and Czech Republic</w:t>
      </w:r>
      <w:r>
        <w:rPr>
          <w:rFonts w:ascii="Times New Roman" w:hAnsi="Times New Roman"/>
          <w:color w:val="000000"/>
          <w:sz w:val="20"/>
        </w:rPr>
        <w:t xml:space="preserve"> </w:t>
      </w:r>
      <w:r>
        <w:rPr>
          <w:rFonts w:ascii="Times New Roman" w:hAnsi="Times New Roman"/>
          <w:color w:val="000000"/>
          <w:sz w:val="16"/>
        </w:rPr>
        <w:t>represented 15.0%, 14.4%, 10.9%</w:t>
      </w:r>
      <w:r>
        <w:rPr>
          <w:rFonts w:ascii="Times New Roman" w:hAnsi="Times New Roman"/>
          <w:color w:val="000000"/>
          <w:sz w:val="20"/>
        </w:rPr>
        <w:t xml:space="preserve"> </w:t>
      </w:r>
      <w:r>
        <w:rPr>
          <w:rFonts w:ascii="Times New Roman" w:hAnsi="Times New Roman"/>
          <w:color w:val="000000"/>
          <w:sz w:val="16"/>
        </w:rPr>
        <w:t>and 10.6%</w:t>
      </w:r>
      <w:r>
        <w:rPr>
          <w:rFonts w:ascii="Times New Roman" w:hAnsi="Times New Roman"/>
          <w:color w:val="000000"/>
          <w:sz w:val="20"/>
        </w:rPr>
        <w:t xml:space="preserve"> </w:t>
      </w:r>
      <w:r>
        <w:rPr>
          <w:rFonts w:ascii="Times New Roman" w:hAnsi="Times New Roman"/>
          <w:color w:val="000000"/>
          <w:sz w:val="16"/>
        </w:rPr>
        <w:t>of our total net revenue for the three months ended March 31, 2025, respectively.</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200"/>
        <w:jc w:val="both"/>
        <w:rPr>
          <w:rFonts w:ascii="Times New Roman" w:hAnsi="Times New Roman"/>
          <w:sz w:val="20"/>
        </w:rPr>
      </w:pPr>
      <w:r>
        <w:rPr>
          <w:rFonts w:ascii="Times New Roman" w:hAnsi="Times New Roman"/>
          <w:color w:val="000000"/>
          <w:sz w:val="16"/>
        </w:rPr>
        <w:t>Our net revenues generated from the United States represented 19.8%</w:t>
      </w:r>
      <w:r>
        <w:rPr>
          <w:rFonts w:ascii="Times New Roman" w:hAnsi="Times New Roman"/>
          <w:color w:val="000000"/>
          <w:sz w:val="20"/>
        </w:rPr>
        <w:t xml:space="preserve"> </w:t>
      </w:r>
      <w:r>
        <w:rPr>
          <w:rFonts w:ascii="Times New Roman" w:hAnsi="Times New Roman"/>
          <w:color w:val="000000"/>
          <w:sz w:val="16"/>
        </w:rPr>
        <w:t>and 22.2%</w:t>
      </w:r>
      <w:r>
        <w:rPr>
          <w:rFonts w:ascii="Times New Roman" w:hAnsi="Times New Roman"/>
          <w:color w:val="000000"/>
          <w:sz w:val="20"/>
        </w:rPr>
        <w:t xml:space="preserve"> </w:t>
      </w:r>
      <w:r>
        <w:rPr>
          <w:rFonts w:ascii="Times New Roman" w:hAnsi="Times New Roman"/>
          <w:color w:val="000000"/>
          <w:sz w:val="16"/>
        </w:rPr>
        <w:t xml:space="preserve">of our total net revenues for the three months ended March 31, 2026, and 2025, respectively.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deferred revenue:</w:t>
      </w:r>
    </w:p>
    <w:p>
      <w:pPr>
        <w:pStyle w:val="TextBody"/>
        <w:bidi w:val="0"/>
        <w:jc w:val="both"/>
        <w:rPr/>
      </w:pPr>
      <w:r>
        <w:rPr/>
        <w:t> </w:t>
      </w:r>
    </w:p>
    <w:tbl>
      <w:tblPr>
        <w:tblW w:w="5996" w:type="dxa"/>
        <w:jc w:val="left"/>
        <w:tblInd w:w="0" w:type="dxa"/>
        <w:tblLayout w:type="fixed"/>
        <w:tblCellMar>
          <w:top w:w="28" w:type="dxa"/>
          <w:left w:w="28" w:type="dxa"/>
          <w:bottom w:w="28" w:type="dxa"/>
          <w:right w:w="28" w:type="dxa"/>
        </w:tblCellMar>
      </w:tblPr>
      <w:tblGrid>
        <w:gridCol w:w="3241"/>
        <w:gridCol w:w="146"/>
        <w:gridCol w:w="253"/>
        <w:gridCol w:w="759"/>
        <w:gridCol w:w="199"/>
        <w:gridCol w:w="175"/>
        <w:gridCol w:w="253"/>
        <w:gridCol w:w="759"/>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the Company expects to recognize $1.3 million from remaining performance obligations over a weighted average term of 3.7 years. The Company recognized approximately $0.6 million and $0.3 million in revenue that was included in the beginning contract liabilities balance during the three months ended March 31, 2026, and 2025,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Product Warranty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product warranty liability:</w:t>
      </w:r>
    </w:p>
    <w:p>
      <w:pPr>
        <w:pStyle w:val="TextBody"/>
        <w:bidi w:val="0"/>
        <w:jc w:val="both"/>
        <w:rPr/>
      </w:pPr>
      <w:r>
        <w:rPr/>
        <w:t> </w:t>
      </w:r>
    </w:p>
    <w:tbl>
      <w:tblPr>
        <w:tblW w:w="6566" w:type="dxa"/>
        <w:jc w:val="left"/>
        <w:tblInd w:w="0" w:type="dxa"/>
        <w:tblLayout w:type="fixed"/>
        <w:tblCellMar>
          <w:top w:w="28" w:type="dxa"/>
          <w:left w:w="28" w:type="dxa"/>
          <w:bottom w:w="28" w:type="dxa"/>
          <w:right w:w="28" w:type="dxa"/>
        </w:tblCellMar>
      </w:tblPr>
      <w:tblGrid>
        <w:gridCol w:w="3731"/>
        <w:gridCol w:w="146"/>
        <w:gridCol w:w="270"/>
        <w:gridCol w:w="730"/>
        <w:gridCol w:w="212"/>
        <w:gridCol w:w="186"/>
        <w:gridCol w:w="270"/>
        <w:gridCol w:w="730"/>
        <w:gridCol w:w="29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warranty issued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Supplementary Balance Sheet and Geographic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(in thousands, except useful life data):</w:t>
      </w:r>
    </w:p>
    <w:p>
      <w:pPr>
        <w:pStyle w:val="TextBody"/>
        <w:bidi w:val="0"/>
        <w:jc w:val="both"/>
        <w:rPr/>
      </w:pPr>
      <w:r>
        <w:rPr/>
        <w:t> </w:t>
      </w:r>
    </w:p>
    <w:tbl>
      <w:tblPr>
        <w:tblW w:w="4277" w:type="dxa"/>
        <w:jc w:val="left"/>
        <w:tblInd w:w="0" w:type="dxa"/>
        <w:tblLayout w:type="fixed"/>
        <w:tblCellMar>
          <w:top w:w="28" w:type="dxa"/>
          <w:left w:w="28" w:type="dxa"/>
          <w:bottom w:w="28" w:type="dxa"/>
          <w:right w:w="28" w:type="dxa"/>
        </w:tblCellMar>
      </w:tblPr>
      <w:tblGrid>
        <w:gridCol w:w="1466"/>
        <w:gridCol w:w="146"/>
        <w:gridCol w:w="211"/>
        <w:gridCol w:w="676"/>
        <w:gridCol w:w="146"/>
        <w:gridCol w:w="146"/>
        <w:gridCol w:w="260"/>
        <w:gridCol w:w="835"/>
        <w:gridCol w:w="3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inventory reserve was $8.6 million and $14.3 million as of March 31, 2026, and December 31, 2025, respectively.</w:t>
      </w:r>
    </w:p>
    <w:tbl>
      <w:tblPr>
        <w:tblW w:w="7407" w:type="dxa"/>
        <w:jc w:val="left"/>
        <w:tblInd w:w="0" w:type="dxa"/>
        <w:tblLayout w:type="fixed"/>
        <w:tblCellMar>
          <w:top w:w="28" w:type="dxa"/>
          <w:left w:w="28" w:type="dxa"/>
          <w:bottom w:w="28" w:type="dxa"/>
          <w:right w:w="28" w:type="dxa"/>
        </w:tblCellMar>
      </w:tblPr>
      <w:tblGrid>
        <w:gridCol w:w="2831"/>
        <w:gridCol w:w="146"/>
        <w:gridCol w:w="1651"/>
        <w:gridCol w:w="146"/>
        <w:gridCol w:w="230"/>
        <w:gridCol w:w="625"/>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Construction-in-process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months ended March 31, 2026, and 2025 the Company recorded depreciation expense $0.3 million and $0.3 million, respectively. Depreciation expense is recorded in the condensed consolidated statements of operations and comprehensive loss. </w:t>
      </w:r>
    </w:p>
    <w:p>
      <w:pPr>
        <w:pStyle w:val="TextBody"/>
        <w:bidi w:val="0"/>
        <w:jc w:val="both"/>
        <w:rPr/>
      </w:pPr>
      <w:r>
        <w:rPr/>
        <w:t> </w:t>
      </w:r>
    </w:p>
    <w:tbl>
      <w:tblPr>
        <w:tblW w:w="6805" w:type="dxa"/>
        <w:jc w:val="left"/>
        <w:tblInd w:w="0" w:type="dxa"/>
        <w:tblLayout w:type="fixed"/>
        <w:tblCellMar>
          <w:top w:w="28" w:type="dxa"/>
          <w:left w:w="28" w:type="dxa"/>
          <w:bottom w:w="28" w:type="dxa"/>
          <w:right w:w="28" w:type="dxa"/>
        </w:tblCellMar>
      </w:tblPr>
      <w:tblGrid>
        <w:gridCol w:w="4026"/>
        <w:gridCol w:w="146"/>
        <w:gridCol w:w="230"/>
        <w:gridCol w:w="625"/>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warehouse and freight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Accrued other as of March 31, 2026, and December 31, 2025, primarily consist of accrued expenses related to income tax expense, legal expense and insurance expense.</w:t>
      </w:r>
    </w:p>
    <w:tbl>
      <w:tblPr>
        <w:tblW w:w="6580" w:type="dxa"/>
        <w:jc w:val="left"/>
        <w:tblInd w:w="0" w:type="dxa"/>
        <w:tblLayout w:type="fixed"/>
        <w:tblCellMar>
          <w:top w:w="28" w:type="dxa"/>
          <w:left w:w="28" w:type="dxa"/>
          <w:bottom w:w="28" w:type="dxa"/>
          <w:right w:w="28" w:type="dxa"/>
        </w:tblCellMar>
      </w:tblPr>
      <w:tblGrid>
        <w:gridCol w:w="3901"/>
        <w:gridCol w:w="146"/>
        <w:gridCol w:w="230"/>
        <w:gridCol w:w="625"/>
        <w:gridCol w:w="146"/>
        <w:gridCol w:w="146"/>
        <w:gridCol w:w="274"/>
        <w:gridCol w:w="821"/>
        <w:gridCol w:w="2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charges to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Long-lived assets by Geographic Region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Company’s long-lived assets, which consist of tangible property and equipment, net of depreciation, and operating ROU assets, by geographic region (in thousands):</w:t>
      </w:r>
    </w:p>
    <w:tbl>
      <w:tblPr>
        <w:tblW w:w="4945" w:type="dxa"/>
        <w:jc w:val="left"/>
        <w:tblInd w:w="0" w:type="dxa"/>
        <w:tblLayout w:type="fixed"/>
        <w:tblCellMar>
          <w:top w:w="28" w:type="dxa"/>
          <w:left w:w="28" w:type="dxa"/>
          <w:bottom w:w="28" w:type="dxa"/>
          <w:right w:w="28" w:type="dxa"/>
        </w:tblCellMar>
      </w:tblPr>
      <w:tblGrid>
        <w:gridCol w:w="2166"/>
        <w:gridCol w:w="346"/>
        <w:gridCol w:w="230"/>
        <w:gridCol w:w="625"/>
        <w:gridCol w:w="146"/>
        <w:gridCol w:w="146"/>
        <w:gridCol w:w="294"/>
        <w:gridCol w:w="801"/>
        <w:gridCol w:w="191"/>
      </w:tblGrid>
      <w:tr>
        <w:trP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Long-lived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APAC</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As of March 31, 2026, and December 31, 2025, 17.6%</w:t>
      </w:r>
      <w:r>
        <w:rPr>
          <w:rFonts w:ascii="Times New Roman" w:hAnsi="Times New Roman"/>
          <w:color w:val="000000"/>
          <w:sz w:val="20"/>
        </w:rPr>
        <w:t xml:space="preserve"> </w:t>
      </w:r>
      <w:r>
        <w:rPr>
          <w:rFonts w:ascii="Times New Roman" w:hAnsi="Times New Roman"/>
          <w:color w:val="000000"/>
          <w:sz w:val="16"/>
        </w:rPr>
        <w:t>and 18.4%</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Israel,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sz w:val="20"/>
        </w:rPr>
      </w:pPr>
      <w:r>
        <w:rPr>
          <w:rFonts w:ascii="Times New Roman" w:hAnsi="Times New Roman"/>
          <w:color w:val="000000"/>
          <w:sz w:val="16"/>
        </w:rPr>
        <w:t>As of March 31, 2026, and December 31, 2025, 45.8%</w:t>
      </w:r>
      <w:r>
        <w:rPr>
          <w:rFonts w:ascii="Times New Roman" w:hAnsi="Times New Roman"/>
          <w:color w:val="000000"/>
          <w:sz w:val="20"/>
        </w:rPr>
        <w:t xml:space="preserve"> </w:t>
      </w:r>
      <w:r>
        <w:rPr>
          <w:rFonts w:ascii="Times New Roman" w:hAnsi="Times New Roman"/>
          <w:color w:val="000000"/>
          <w:sz w:val="16"/>
        </w:rPr>
        <w:t>and 45.1%</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the U.S., respectively.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sz w:val="20"/>
        </w:rPr>
      </w:pPr>
      <w:r>
        <w:rPr>
          <w:rFonts w:ascii="Times New Roman" w:hAnsi="Times New Roman"/>
          <w:color w:val="000000"/>
          <w:sz w:val="16"/>
        </w:rPr>
        <w:t>As of March 31, 2026, 17.5% and 14.4% of the Company’s total long-lived assets were located in Thailand and China. As of December 31, 2025, 21.1% and 10.8% of the Company’s total long-lived assets were located in Thailand and China, respectively.</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March 31, 2026, the Company entered into a revolving credit facility (the “Credit Facility”) with Wells Fargo Bank, National Association, as lender, pursuant to which the Company may borrow up to $10.0 million, subject to a borrowing base. Tigo Energy MergeCo, Inc., a wholly owned subsidiary of the Company, is the guarantor of the Company’s obligations under the Credit Facility. The Credit Facility matures on March 31, 2029. As of March 31, 2026, there was no amount outstanding under the Credit Facility.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Borrowings under the Credit Facility bear interest at a rate equal to the secured overnight financing rate, as administered by the Federal Reserve Bank of New York, plus an applicable margin of 1.75% to 2.00%, based on monthly average excess availability. Available borrowings under the Credit Facility may not exceed the borrowing base, which is determined based on specified percentages of eligible accounts receivable and eligible inventory, in each case subject to customary reserves, eligibility criteria and other adjustments. The occurrence of an event of default under the Credit Facility could result in the termination of the commitments under the Credit Facility and the acceleration of all outstanding borrowings under the Credit Facility. The terms of the Credit Facility require the Company to maintain a minimum level of liquidity at all times, which is tested on a monthly basis. As of March 31, 2026, the Company was in compliance with all applicable covenants under the Credit Facility.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Convertible Promissory Notes and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9, 2023, the Company entered into a convertible promissory note purchase agreement (“Note Purchase Agreement”) with L1 Energy Capital Management S.a.r.l in exchange for cash of $50.0 million (“Convertible Promissory Notes”). Outstanding borrowings under the Convertible Promissory Notes bear interest at a rate of 5.0% per year. The principal amount was due at the maturity date of January 9, 2026, and interest is payable semiannually beginning in July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17, 2025, the Company extinguished the Convertible Promissory Notes by paying $51.3 million in cash which included principal, accrued interest and fees associated with the extinguishment. The reacquisition price of the debt was higher than the related carrying value at the extinguishment date, therefore resulting in a loss on extinguishment of Convertible Promissory Notes of $1.1 million. The loss on extinguishment of the Convertible Promissory Note is included in other (income) expense, net in the consolidated statements of operations and comprehensive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had no outstanding debt as of March 31, 2026 and December 31, 2025. </w:t>
      </w:r>
    </w:p>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legal proceedings and claims that have arisen in the ordinary course of business and that have not been fully resolved. Some litigation or legal disputes may not be covered by insurance. While the Company intends to vigorously defend itself with respect to such disputes, any potential outcomes resulting from such claims would be inherently difficult to quantify. The Company makes a provision for a liability relating to legal matters when it is both probable that a liability has been incurred, and the amount of the loss can be reasonably estimated. During the three months ended March 31, 2026, the Company has not recorded a material loss with respect to any legal claims or other legal matters arising in the normal course of business.</w:t>
      </w:r>
    </w:p>
    <w:p>
      <w:pPr>
        <w:pStyle w:val="TextBody"/>
        <w:bidi w:val="0"/>
        <w:spacing w:before="36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current estimated fair value of any obligation from these indemnification agreements is minimal; therefore, these condensed consolidated financial statements do not include a liability for potential indemnification-related obligations at March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and Preferred Stock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Common and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As of March 31, 2026, there was no Preferred Stock outstanding.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rPr/>
      </w:pPr>
      <w:r>
        <w:rPr/>
        <w:t> </w:t>
      </w:r>
    </w:p>
    <w:tbl>
      <w:tblPr>
        <w:tblW w:w="8238" w:type="dxa"/>
        <w:jc w:val="left"/>
        <w:tblInd w:w="0" w:type="dxa"/>
        <w:tblLayout w:type="fixed"/>
        <w:tblCellMar>
          <w:top w:w="28" w:type="dxa"/>
          <w:left w:w="28" w:type="dxa"/>
          <w:bottom w:w="28" w:type="dxa"/>
          <w:right w:w="28" w:type="dxa"/>
        </w:tblCellMar>
      </w:tblPr>
      <w:tblGrid>
        <w:gridCol w:w="6121"/>
        <w:gridCol w:w="146"/>
        <w:gridCol w:w="207"/>
        <w:gridCol w:w="1473"/>
        <w:gridCol w:w="29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4,437,273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4,652,767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3,070,572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12,160,612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Registered Direct Offering</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 February 2026, the Company entered into a Securities Purchase Agreement (the “Purchase Agreement”) with certain institutional investors, pursuant to which the Company issued and sold, in a registered direct offering, an aggregate of 5,000,000 shares of our common stock at a purchase price of $3.00 per share, for aggregate gross proceeds of $15.0 million (the “Registered Direct Offering”). Craig-Hallum Capital Group LLC acted as placement agent for the Registered Direct Offering. Under the terms of the engagement, we agreed to pay the placement agent a cash fee equal to 4.5% of the gross proceeds from the Registered Direct Offering and to reimburse certain legal and other expenses. Net proceeds from the Registered Direct Offering were approximately $14.0 million after deducting the placement agent fee and other expenses related to the Registered Direct Offering. A portion of the placement agent fees was withheld from the gross proceeds at closing, with the remaining offering costs paid separately by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2024, the Company entered into an At-The-Market Offering Agreement (the “ATM Agreement”) with Craig-Hallum Capital Group LLC (the “Sales Agent”), allowing for the sale of common stock with an aggregate gross offering price of up to $14.2 million (the “2024 ATM Program”). Under the ATM Agreement, the Sales Agent sold shares in an “at-the-market” offering under Rule 415(a)(4) of the Securities Act, including sales on Nasdaq or other trading markets, to or through market makers, directly to the Sales Agent as principal, or in negotiated transactions at prevailing market prices. Sales under the 2024 ATM Program were subject to a maximum commission of up to 3.0% of the gross proceeds per share sold through the Sales Agent.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2024 ATM Program, the Company sold 8,325,504 shares of our common stock for gross proceeds of $14.2 million and net proceeds of $13.8 million, after deducting Sales Agent commissions and other expenses related to the 2024 ATM Program. As of October 2025, the 2024 ATM Program was fully utilized, and there are no additional shares available for issuance under the program.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was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Company adopted the 2023 Equity Incentive Plan (“2023 Plan”) under which the Company may issue stock options to purchase shares of common stock, award restricted stock, restricted stock units (“RSU”), performance stock units (“PSUs”), dividend equivalents, stock appreciation rights, and other stock-based or cash-based awards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four-year period with no cliff vesting. As of March 31, 2026, 991,906 stock options granted under the 2023 Plan had vested and were exercisable. There have been 11,216 stock options exercised under the 2023 Plan. The RSUs generally vest over a three-year period, following the date of grant, with a third of the award vesting on each year on the annual anniversary of the grant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at their grant-date fair value and records compensation expense on a straight-line basis over the vesting period of the awards. The Company also measures the PSU awards at their grant-date fair value and assumes that performance goals will be achieved. If the performance goals are not met, no compensation expense is recognized and any recognized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compensation expense is reversed. The Company recorded stock-based compensation expense in the following expense categories in its accompanying condensed consolidated statements of operations and comprehensive loss: </w:t>
      </w:r>
    </w:p>
    <w:p>
      <w:pPr>
        <w:pStyle w:val="TextBody"/>
        <w:bidi w:val="0"/>
        <w:jc w:val="both"/>
        <w:rPr/>
      </w:pPr>
      <w:r>
        <w:rPr/>
        <w:t> </w:t>
      </w:r>
    </w:p>
    <w:tbl>
      <w:tblPr>
        <w:tblW w:w="6079" w:type="dxa"/>
        <w:jc w:val="left"/>
        <w:tblInd w:w="0" w:type="dxa"/>
        <w:tblLayout w:type="fixed"/>
        <w:tblCellMar>
          <w:top w:w="28" w:type="dxa"/>
          <w:left w:w="28" w:type="dxa"/>
          <w:bottom w:w="28" w:type="dxa"/>
          <w:right w:w="28" w:type="dxa"/>
        </w:tblCellMar>
      </w:tblPr>
      <w:tblGrid>
        <w:gridCol w:w="2946"/>
        <w:gridCol w:w="346"/>
        <w:gridCol w:w="272"/>
        <w:gridCol w:w="738"/>
        <w:gridCol w:w="188"/>
        <w:gridCol w:w="188"/>
        <w:gridCol w:w="272"/>
        <w:gridCol w:w="738"/>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three months ended March 31, 2026: </w:t>
      </w:r>
    </w:p>
    <w:p>
      <w:pPr>
        <w:pStyle w:val="TextBody"/>
        <w:bidi w:val="0"/>
        <w:jc w:val="both"/>
        <w:rPr/>
      </w:pPr>
      <w:r>
        <w:rPr/>
        <w:t> </w:t>
      </w:r>
    </w:p>
    <w:tbl>
      <w:tblPr>
        <w:tblW w:w="10106"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336"/>
        <w:gridCol w:w="744"/>
        <w:gridCol w:w="146"/>
        <w:gridCol w:w="146"/>
        <w:gridCol w:w="239"/>
        <w:gridCol w:w="766"/>
        <w:gridCol w:w="146"/>
        <w:gridCol w:w="146"/>
        <w:gridCol w:w="635"/>
        <w:gridCol w:w="2035"/>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total unrecognized compensation expense related to unvested stock option awards was $3.3 million, which the Company expects to recognize over a weighted-average period of 2.1 years. There were no options granted during the three months ended March 31,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in the foreseeable future to pay a dividend on its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periods prior to Tigo’s common stock becoming publicly traded, the fair value of Legacy Tigo’s common stock used to measure stock-based compensation was estimated by Legacy Tigo’s board of directors with reference to contemporaneous third-party valuations.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RSU activity for the Plans for the three months ended March 31, 2026:</w:t>
      </w:r>
    </w:p>
    <w:tbl>
      <w:tblPr>
        <w:tblW w:w="7107"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729"/>
        <w:gridCol w:w="161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the total unrecognized compensation expense related to unvested RSUs was $4.4 million, which the Company expects to recognize over a weighted-average period of 1.8 years.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The PSUs vest over a three-year period, which began on January 1, 2025, with one-third of the award eligible to vest at the end of each fiscal year through December 31, 2027, based on the Company’s level of achievement of certain performance-based criteria tied to annual net revenue and adjusted EBITDA targets. The PSUs were valued using the market value of the Company’s Common Stock at the closing market price on the grant date. </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The following table summarizes PSU activity for the Plans for the three months ended March 31, 2026:</w:t>
      </w:r>
    </w:p>
    <w:tbl>
      <w:tblPr>
        <w:tblW w:w="7107"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729"/>
        <w:gridCol w:w="161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the total unrecognized compensation expense related to PSUs that were deemed probable to vest at the end of their respective performance period was $0.4 million, which the Company expects to recognize over a weighted-average period of 1.3 years.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lessee, the Company currently leases office space and vehicles in the United States, Italy, Israel, China, Philippines and Thailand. All of the Company’s leases are classified as operating leases. The Company has no leases classified as finance or sales-type leases. For leases with terms greater than 12 months, the Company records the related assets and obligations at the present value of lease payments over the term. Many of the Company’s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five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w:t>
      </w:r>
    </w:p>
    <w:p>
      <w:pPr>
        <w:pStyle w:val="TextBody"/>
        <w:bidi w:val="0"/>
        <w:jc w:val="both"/>
        <w:rPr/>
      </w:pPr>
      <w:r>
        <w:rPr/>
        <w:t> </w:t>
      </w:r>
    </w:p>
    <w:tbl>
      <w:tblPr>
        <w:tblW w:w="4966" w:type="dxa"/>
        <w:jc w:val="left"/>
        <w:tblInd w:w="0" w:type="dxa"/>
        <w:tblLayout w:type="fixed"/>
        <w:tblCellMar>
          <w:top w:w="28" w:type="dxa"/>
          <w:left w:w="28" w:type="dxa"/>
          <w:bottom w:w="28" w:type="dxa"/>
          <w:right w:w="28" w:type="dxa"/>
        </w:tblCellMar>
      </w:tblPr>
      <w:tblGrid>
        <w:gridCol w:w="2031"/>
        <w:gridCol w:w="146"/>
        <w:gridCol w:w="325"/>
        <w:gridCol w:w="649"/>
        <w:gridCol w:w="225"/>
        <w:gridCol w:w="225"/>
        <w:gridCol w:w="325"/>
        <w:gridCol w:w="649"/>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9956" w:type="dxa"/>
        <w:jc w:val="left"/>
        <w:tblInd w:w="0" w:type="dxa"/>
        <w:tblLayout w:type="fixed"/>
        <w:tblCellMar>
          <w:top w:w="28" w:type="dxa"/>
          <w:left w:w="28" w:type="dxa"/>
          <w:bottom w:w="28" w:type="dxa"/>
          <w:right w:w="28" w:type="dxa"/>
        </w:tblCellMar>
      </w:tblPr>
      <w:tblGrid>
        <w:gridCol w:w="7121"/>
        <w:gridCol w:w="146"/>
        <w:gridCol w:w="325"/>
        <w:gridCol w:w="649"/>
        <w:gridCol w:w="225"/>
        <w:gridCol w:w="225"/>
        <w:gridCol w:w="325"/>
        <w:gridCol w:w="649"/>
        <w:gridCol w:w="29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30" w:type="dxa"/>
        <w:jc w:val="left"/>
        <w:tblInd w:w="0" w:type="dxa"/>
        <w:tblLayout w:type="fixed"/>
        <w:tblCellMar>
          <w:top w:w="28" w:type="dxa"/>
          <w:left w:w="28" w:type="dxa"/>
          <w:bottom w:w="28" w:type="dxa"/>
          <w:right w:w="28" w:type="dxa"/>
        </w:tblCellMar>
      </w:tblPr>
      <w:tblGrid>
        <w:gridCol w:w="4116"/>
        <w:gridCol w:w="146"/>
        <w:gridCol w:w="361"/>
        <w:gridCol w:w="899"/>
        <w:gridCol w:w="271"/>
        <w:gridCol w:w="146"/>
        <w:gridCol w:w="430"/>
        <w:gridCol w:w="107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maturities of lease liabilities were as follows as of March 31, 2026:</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the Company had a goodwill balance of $12.2 million. The goodwill balance is related to the acquisition of Tigo Energy AI Ltd (f/k/a Foresight Energy, Ltd. (“fSight”)).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amortization expense related to intangible assets of $0.1 million and $0.1 million for the three months ended March 31,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Amortization expense related to intangible assets at March 31, 2026, in each of the next five years and beyond is expected to be incurred as follows:</w:t>
      </w:r>
    </w:p>
    <w:tbl>
      <w:tblPr>
        <w:tblW w:w="2800" w:type="dxa"/>
        <w:jc w:val="left"/>
        <w:tblInd w:w="0" w:type="dxa"/>
        <w:tblLayout w:type="fixed"/>
        <w:tblCellMar>
          <w:top w:w="28" w:type="dxa"/>
          <w:left w:w="28" w:type="dxa"/>
          <w:bottom w:w="28" w:type="dxa"/>
          <w:right w:w="28" w:type="dxa"/>
        </w:tblCellMar>
      </w:tblPr>
      <w:tblGrid>
        <w:gridCol w:w="1681"/>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income tax provision is calculated for an interim period by distinguishing between elements recognized in the income tax provision through applying an estimated annual effective tax rate to a measure of year-to-date operating results referred to as “ordinary income (or loss),” and discretely recognizing specific events referred to as “discrete items” as they occur. The Company’s effective tax rates for the three months ended March 31, 2026, and 2025 differ from the federal statutory rate of 21% principally as a result of valuation allowances expected to be maintained against the Company’s deferred tax assets. The Company recorded an income tax benefit of $0.2 million for the three months ended March 31, 2026, compared to income tax expense of $0.3 million for the three months ended March 31,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Patent Sale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16, 2025 (the “Initial Closing date”), the Company entered into a patent purchase agreement with Tigo Energy Innovations LLC (the “Purchaser”), an unaffiliated third party, pursuant to which the Company sold certain patents (the “Assigned Patents”). Under the terms of the patent purchase agreement, total consideration could amount between $15.0 million and $18.0 million. In connection with the transaction, the Company received a non-exclusive grant-back license to practice the Assigned Patents in connection with the Seller’s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consideration consisted of $15.0 million which was paid upon the Initial Closing date of the patent purchase agreement. An additional holdback amount between $2.8 million and $3.0 million is payable after the initial closing, which is contingent on the Company satisfying certain conditions. If these conditions are not met, the Purchaser is not entitled to the patents subject to these conditions and the Company will not receive any amount related to the holdback consideration noted above. As of March 31, 2026, the conditions were not met for the Company to receive any portion of the holdback amount.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accounted for the sale of the Assigned Patents as sale of non-financial assets under ASC Topic 610-20, “Other Income — Gains and Losses from the Derecognition of Nonfinancial Assets” (“ASC Topic 610-20”). The patents transferred under the patent purchase agreement were not recognized as separate intangible assets as the Company retains perpetual, royalty-free, non-exclusive rights to continue using the underlying technology. As result, no intangible assets were derecognized, and the Company’s Developed Technology and Patent intangible assets will continue to be amortized over their originally established useful lives. At the Initial Closing, the Company recognized a gain of $14.6 million, which is the consideration paid at the Initial Closing date, net of transaction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seller-retained royalties under the purchase patent agreement, which entitle the Company to receive up to $5.0 million of future license proceeds, represent contingent income and will be recognized in other (income) expenses, net when and if earned. As of March 31, 2026, the Company has collected $0.5 million in seller-retained royalties.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da"/>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2025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including those set forth in Part II, Item 1A, “Risk Factors” in this Quarterly Report on Form 10-Q and in Part I, Item 1A, “Risk Factors” in the 2025 Annual Report. Additionally, our historical results are not necessarily indicative of the results that may be expected for any period in the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 xml:space="preserve">Recent Developments </w:t>
      </w:r>
    </w:p>
    <w:p>
      <w:pPr>
        <w:pStyle w:val="TextBody"/>
        <w:bidi w:val="0"/>
        <w:jc w:val="both"/>
        <w:rPr>
          <w:rFonts w:ascii="Times New Roman" w:hAnsi="Times New Roman"/>
          <w:sz w:val="20"/>
        </w:rPr>
      </w:pPr>
      <w:r>
        <w:rPr>
          <w:rFonts w:ascii="Times New Roman" w:hAnsi="Times New Roman"/>
          <w:b/>
          <w:i/>
          <w:color w:val="000000"/>
          <w:sz w:val="20"/>
        </w:rPr>
        <w:t>Registered Direct Offering</w:t>
      </w:r>
      <w:r>
        <w:rPr>
          <w:rFonts w:ascii="Times New Roman" w:hAnsi="Times New Roman"/>
          <w:color w:val="000000"/>
          <w:sz w:val="20"/>
        </w:rPr>
        <w:t>. On February 24, 2026, we completed a registered direct offering (“Registered Direct Offering”) of 5,000,000 shares of our common stock to certain institutional investors for gross proceeds of $15.0 million. After deducting the placement agent fee and other offering expenses, net proceeds were approximately $14.0 million. For more information, see Note 9, “Common and Preferred Stock”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On March 31, 2026, we entered into a revolving credit facility (“Credit Facility”) with Wells Fargo Bank, National Association that provides for up to $10.0 million of borrowing capacity, subject to a borrowing base based on eligible accounts receivable and eligible inventory. The Credit Facility matures on March 31, 2029. As of March 31, 2026, there were no amounts outstanding under the facility, and the Company was in compliance with all applicable covenants. For more information, see Note 7, “Debt”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Patent Sale. </w:t>
      </w:r>
      <w:r>
        <w:rPr>
          <w:rFonts w:ascii="Times New Roman" w:hAnsi="Times New Roman"/>
          <w:color w:val="000000"/>
          <w:sz w:val="20"/>
        </w:rPr>
        <w:t>As disclosed in the Company’s 2025 Annual Report, on December 16, 2025, we entered into a patent purchase agreement involving the sale of certain patent rights. Under the terms of the patent purchase agreement, total consideration is expected to be between $15.0 million and $18.0 million. We received $15.0 million at the initial closing, and an additional holdback amount of up to $3.0 million is contingent on the satisfaction of specified conditions. As of March 31, 2026, these conditions had not been met. Additionally, seller-retained royalties under the purchase patent agreement, which entitles us to receive up to $5.0 million of future license proceeds, represent contingent income and will be recognized in other (income) expenses, net when and if earned. For more information, see Note 14, “Patent Sale”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Trade Tariffs</w:t>
      </w:r>
      <w:r>
        <w:rPr>
          <w:rFonts w:ascii="Times New Roman" w:hAnsi="Times New Roman"/>
          <w:i/>
          <w:color w:val="000000"/>
          <w:sz w:val="20"/>
        </w:rPr>
        <w:t xml:space="preserve">. </w:t>
      </w:r>
      <w:r>
        <w:rPr>
          <w:rFonts w:ascii="Times New Roman" w:hAnsi="Times New Roman"/>
          <w:color w:val="000000"/>
          <w:sz w:val="20"/>
        </w:rPr>
        <w:t xml:space="preserve">It is uncertain what impact new or existing tariffs, trade restrictions, or retaliatory actions, may have on us, our business, the solar industry, and our customers. U.S. net revenue represented 19.8% and 23.3% of our total net revenue for the three months ended March 31, 2026, and year ended December 31, 2025, respectively. Substantially all of our MLPE products, which represented 66.7% and 68.9% of U.S. net revenues during the three months ended March 31, 2026, and year ended December 31, 2025, respectively, were manufactured in Thailand. Our GO Energy Storage Systems (“GO ESS”) products represented 32.2% and 23.1% of U.S. net revenues during the three months ended March 31, 2026, and year ended December 31, 2025, respectively. Beginning in October 2025, we transitioned production of our GO ESS product line for the U.S. market from China to Vietnam. As of March 31, 2026, we were subject to tariffs on all products imported into the United States from the countries in which we manufacture our products. During the three months ended March 31, 2026 and 2025, we incurred $0.7 million and $0.1 million of tariff-related costs, respectively.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While we are actively evaluating alternative sourcing strategies, the global supply chain for key hardware components necessary to manufacture our products remains concentrated in regions affected by these trade measures, and identifying qualified suppliers outside of these regions with sufficient capacity and technical expertise remains challenging.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Any escalation in trade tensions, new or expanded tariffs, or broader geopolitical instability could impact our sourcing flexibility, product pricing, cost structure, and/or customer demand for our product lines. These factors, combined with potential economic softening, could lead to elevated inventory levels and reduced leverage in supplier pricing negotiations. Any of these outcomes could negatively affect our operations, financial performance, and cash flows.</w:t>
      </w:r>
    </w:p>
    <w:p>
      <w:pPr>
        <w:pStyle w:val="TextBody"/>
        <w:bidi w:val="0"/>
        <w:spacing w:before="80" w:after="283"/>
        <w:jc w:val="both"/>
        <w:rPr>
          <w:rFonts w:ascii="Times New Roman" w:hAnsi="Times New Roman"/>
          <w:sz w:val="20"/>
        </w:rPr>
      </w:pPr>
      <w:r>
        <w:rPr>
          <w:rFonts w:ascii="Times New Roman" w:hAnsi="Times New Roman"/>
          <w:b/>
          <w:i/>
          <w:color w:val="000000"/>
          <w:sz w:val="20"/>
        </w:rPr>
        <w:t>Managing Supply Chain</w:t>
      </w:r>
      <w:r>
        <w:rPr>
          <w:rFonts w:ascii="Times New Roman" w:hAnsi="Times New Roman"/>
          <w:b/>
          <w:color w:val="000000"/>
          <w:sz w:val="20"/>
        </w:rPr>
        <w:t>.</w:t>
      </w:r>
      <w:r>
        <w:rPr>
          <w:rFonts w:ascii="Times New Roman" w:hAnsi="Times New Roman"/>
          <w:color w:val="000000"/>
          <w:sz w:val="20"/>
        </w:rPr>
        <w:t xml:space="preserve"> We rely on contract manufacturers and suppliers to produce our components, with a significant portion of our supply chain originating in Thailand, Vietnam and China. As noted above, we transitioned production of our GO ESS product line for the U.S. market from China to Vietnam in October 2025.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In the event we are unable to mitigate the impact of delays and/or price increases in raw materials, electronic components and freight, as a result of new or existing tariffs, trade restrictions, retaliatory actions, or otherwise, it could delay the manufacturing and delivery of our products, which would adversely impact our cash flows and results of operations, including revenue and gross margin. In addition, in a slowing economic environment in the U.S. and worldwide, our inventory levels may continue to increase due to existing purchase commitments and our ability to negotiate volume pricing discounts may be impaired.</w:t>
      </w:r>
    </w:p>
    <w:p>
      <w:pPr>
        <w:pStyle w:val="TextBody"/>
        <w:bidi w:val="0"/>
        <w:spacing w:before="240" w:after="180"/>
        <w:jc w:val="both"/>
        <w:rPr>
          <w:rFonts w:ascii="Times New Roman" w:hAnsi="Times New Roman"/>
          <w:sz w:val="20"/>
        </w:rPr>
      </w:pPr>
      <w:r>
        <w:rPr>
          <w:rFonts w:ascii="Times New Roman" w:hAnsi="Times New Roman"/>
          <w:b/>
          <w:i/>
          <w:color w:val="000000"/>
          <w:sz w:val="20"/>
        </w:rPr>
        <w:t>One Big Beautiful Bill Act of 2025.</w:t>
      </w:r>
      <w:r>
        <w:rPr>
          <w:rFonts w:ascii="Times New Roman" w:hAnsi="Times New Roman"/>
          <w:color w:val="000000"/>
          <w:sz w:val="20"/>
        </w:rPr>
        <w:t xml:space="preserve"> In July 2025, the One Big Beautiful Bill Act of 2025 (the “OBBB”) was enacted and implemented material changes to certain federal clean energy tax credit programs that are important to our business and could affect our financial condition, results of operations, and future prospects. Among other changes, the OBBB reduced the Investment Tax Credit (the “ITC”) under Section 25D of the Internal Revenue Code of 1986, as amended (the “Code”), for residential solar and storage systems purchased through cash or loans. Under the OBBB, the Section 25D credit expired on December 31, 2025.</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OBBB also established new timing requirements for eligibility under Section 48E of the Code, which governs ITCs for leased solar and storage systems. In particular, solar-only projects that do not commence construction within 12 months of the OBBB’s enactment must be placed in service by December 31, 2027, to remain eligible for the credit. Energy storage projects are not subject to this placed-in-service deadline; however, the ITC for storage systems is scheduled to begin phasing down in 2034, decreasing to 75% in 2034 and 50% in 2035, and phasing out entirely by 2036.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OBBB amended the domestic content bonus credit requirements for Section 48E projects. Projects that commence construction after June 16, 2025, must satisfy a 45% domestic cost threshold, increased from 40%. The OBBB further introduced new compliance requirements under the Foreign Entity of Concern (“FEOC”) provisions applicable to both Section 48E and the Advanced Manufacturing Production Tax Credit (“AMPTC”) under Section 45X of the Code. These provisions require an increasing level of non-FEOC content for solar and storage projects beginning construction in 2026 and for manufactured components produced beginning in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7, 2025, the President issued an Executive Order directing the Secretary of the Treasury to issue updated guidance within 45 days regarding the “beginning of construction” requirements applicable to Section 48E projects. In August 2025, the U.S. Department of the Treasury and the IRS issued revised “beginning of construction” guidance for clean energy tax credits that applies only to projects above 1MW. The Executive Order also directs the Secretary to implement the FEOC restrictions set forth in the OBBB. Under the new FEOC rules, a U.S. energy project can only receive specific tax credits if the project’s equipment from certain FEOC-related entities does not exceed set amounts, and the rules disqualify other credits from applying to US-made products that contain too many inputs from certain FEOC-related entities. The rules also prevent a company from receiving specific tax credits if it relies too much on investment or material assistance from certain FEOC-related entities, including in circumstances where a contract, license, or other arrangement gives an FEOC-related entity effective control over the company or its projects or products. Additional FEOC guidance remains forthcoming and is expected to be finalized in 2026, which could further tighten existing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legislative and regulatory developments have affected, and could in the future adversely affect, our eligibility for certain tax credits, the attractiveness of our offerings to solar and storage system lease providers, and overall demand for our products. If we are unable to satisfy the revised domestic content or FEOC requirements, our ability to qualify for these incentives could be impaired, which could adversely affect our revenue, gross margins, business operations, and competitive position. </w:t>
      </w:r>
    </w:p>
    <w:p>
      <w:pPr>
        <w:pStyle w:val="TextBody"/>
        <w:bidi w:val="0"/>
        <w:spacing w:before="240" w:after="180"/>
        <w:jc w:val="both"/>
        <w:rPr>
          <w:rFonts w:ascii="Times New Roman" w:hAnsi="Times New Roman"/>
          <w:sz w:val="20"/>
        </w:rPr>
      </w:pPr>
      <w:r>
        <w:rPr>
          <w:rFonts w:ascii="Times New Roman" w:hAnsi="Times New Roman"/>
          <w:b/>
          <w:i/>
          <w:color w:val="000000"/>
          <w:sz w:val="20"/>
        </w:rPr>
        <w:t xml:space="preserve">Section 45X Manufacturing Tax Credit Arrangement. </w:t>
      </w:r>
      <w:r>
        <w:rPr>
          <w:rFonts w:ascii="Times New Roman" w:hAnsi="Times New Roman"/>
          <w:color w:val="000000"/>
          <w:sz w:val="20"/>
        </w:rPr>
        <w:t>On December 18, 2025, we entered into an Amended and Restated Manufacturing and Supply Agreement with EG4 Electronics LLC (“EG4”). The amended agreement clarifies that EG4, rather than the Company, is expected to be the claimant of any available AMPTC under Section 45X of the Code associated with qualifying optimized inverter products manufactured using certain Tigo components. Under the amended agreement, if EG4 qualifies for, receives and monetizes such AMPTC, we may be entitled to receive an agreed-upon amount, net of applicable tax credit selling expenses, subject to the terms and conditions of the amended agreement.</w:t>
      </w:r>
    </w:p>
    <w:p>
      <w:pPr>
        <w:pStyle w:val="TextBody"/>
        <w:bidi w:val="0"/>
        <w:spacing w:before="60" w:after="160"/>
        <w:jc w:val="both"/>
        <w:rPr>
          <w:rFonts w:ascii="Times New Roman" w:hAnsi="Times New Roman"/>
          <w:color w:val="000000"/>
          <w:sz w:val="20"/>
        </w:rPr>
      </w:pPr>
      <w:r>
        <w:rPr>
          <w:rFonts w:ascii="Times New Roman" w:hAnsi="Times New Roman"/>
          <w:color w:val="000000"/>
          <w:sz w:val="20"/>
        </w:rPr>
        <w:t xml:space="preserve">During the three months ended March 31, 2026, production activities commenced through a U.S. based contract manufacturer for certain components that are expected to be used in products supplied under the EG4 arrangement. No component shipments were made to EG4 during the three months ended March 31, 2026, and we did not recognize any benefit related to the AMPTC under Section 45X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of the Code during the period. There can be no assurance that EG4 will qualify for, receive, monetize or retain any AMPTC, that any products manufactured using our components will satisfy applicable requirements, or that we will receive any amounts under the amended agreement, including as to the timing or amount of any such payments. Changes in the law, additional guidance, FEOC-related restrictions, sourcing requirements, documentation requirements, or interpretations of Section 45X of the Code could affect the expected economics of our agreement with EG4, our sourcing strategy, and our customers’ eligibility for tax credits, which may affect their purchasing decisions and demand for our products.</w:t>
      </w:r>
    </w:p>
    <w:p>
      <w:pPr>
        <w:pStyle w:val="TextBody"/>
        <w:bidi w:val="0"/>
        <w:spacing w:before="80" w:after="160"/>
        <w:jc w:val="both"/>
        <w:rPr>
          <w:rFonts w:ascii="Times New Roman" w:hAnsi="Times New Roman"/>
          <w:sz w:val="20"/>
        </w:rPr>
      </w:pPr>
      <w:r>
        <w:rPr>
          <w:rFonts w:ascii="Times New Roman" w:hAnsi="Times New Roman"/>
          <w:b/>
          <w:i/>
          <w:color w:val="000000"/>
          <w:sz w:val="20"/>
        </w:rPr>
        <w:t>Macroeconomic and Market Conditions.</w:t>
      </w:r>
      <w:r>
        <w:rPr>
          <w:rFonts w:ascii="Times New Roman" w:hAnsi="Times New Roman"/>
          <w:color w:val="000000"/>
          <w:sz w:val="20"/>
        </w:rPr>
        <w:t xml:space="preserve"> The global macroeconomic and market uncertainty has adversely impacted the U.S. and global economies and may continue to do so. As our global footprint expands, we are increasingly exposed to the effects of this evolving environment, including inflation and input-cost pressures, interest rate levels and volatility, tariffs and changes in trade policy, foreign currency fluctuations, potential economic slowdowns or recessions, geopolitical tensions, and regulatory changes stemming from current and future trade policies. A tighter credit market for consumer and business spending could, in turn, adversely affect the spending levels of installers and end users and lead to increased price competition for our products. In addition, a tighter credit environment could adversely affect installer and end-customer demand, increase price sensitivity, and lead to greater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80" w:after="283"/>
        <w:jc w:val="both"/>
        <w:rPr>
          <w:rFonts w:ascii="Times New Roman" w:hAnsi="Times New Roman"/>
          <w:sz w:val="20"/>
        </w:rPr>
      </w:pPr>
      <w:r>
        <w:rPr>
          <w:rFonts w:ascii="Times New Roman" w:hAnsi="Times New Roman"/>
          <w:b/>
          <w:i/>
          <w:color w:val="000000"/>
          <w:sz w:val="20"/>
        </w:rPr>
        <w:t>Expansion of Sales, Customers, and Product Offerings.</w:t>
      </w:r>
      <w:r>
        <w:rPr>
          <w:rFonts w:ascii="Times New Roman" w:hAnsi="Times New Roman"/>
          <w:color w:val="000000"/>
          <w:sz w:val="20"/>
        </w:rPr>
        <w:t xml:space="preserve"> Our ability to grow revenue, in part, depends on expanding both our product and service offerings and our customer base. We primarily acquire new customers through collaboration with industry partners and distributors, and while we expect near-term revenue to remain concentrated among existing customers, we plan to expand our presence in the residential markets in the U.S. and EMEA. While the majority of our North American revenue is currently generated from commercial and industrial markets, we are actively working to grow our presence in the U.S. residential market through offerings with residential solar providers. Internationally, we continue to evaluate and invest in new market opportunities, particularly in the EMEA region, where we have begun offering our residential solutions in Italy and Germany.</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Additionally, we have made, and plan to continue to make, substantial investments in research and development initiatives to support new product introductions. Although a significant portion of our revenue is derived from our MLPE products, we are continuing to develop and promote additional offerings such as our GO ESS product line and Predict+ service, which we believe will help contribute to long-term revenue growth and market leadership. We believe that our entry into new markets will facilitate revenue growth and customer diversification.</w:t>
      </w:r>
    </w:p>
    <w:p>
      <w:pPr>
        <w:pStyle w:val="Heading2"/>
        <w:bidi w:val="0"/>
        <w:spacing w:before="200" w:after="120"/>
        <w:jc w:val="both"/>
        <w:rPr>
          <w:rFonts w:ascii="Times New Roman" w:hAnsi="Times New Roman"/>
          <w:color w:val="000000"/>
          <w:sz w:val="20"/>
        </w:rPr>
      </w:pPr>
      <w:r>
        <w:rPr>
          <w:rFonts w:ascii="Times New Roman" w:hAnsi="Times New Roman"/>
          <w:color w:val="000000"/>
          <w:sz w:val="20"/>
        </w:rPr>
        <w:t>Key Operating and Financial Metrics</w:t>
      </w:r>
    </w:p>
    <w:p>
      <w:pPr>
        <w:pStyle w:val="TextBody"/>
        <w:bidi w:val="0"/>
        <w:jc w:val="both"/>
        <w:rPr>
          <w:rFonts w:ascii="Times New Roman" w:hAnsi="Times New Roman"/>
          <w:color w:val="000000"/>
          <w:sz w:val="20"/>
        </w:rPr>
      </w:pPr>
      <w:r>
        <w:rPr>
          <w:rFonts w:ascii="Times New Roman" w:hAnsi="Times New Roman"/>
          <w:color w:val="000000"/>
          <w:sz w:val="20"/>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our public competitors and are regularly used by securities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these metrics for the periods presented: </w:t>
      </w:r>
    </w:p>
    <w:p>
      <w:pPr>
        <w:pStyle w:val="TextBody"/>
        <w:bidi w:val="0"/>
        <w:jc w:val="left"/>
        <w:rPr/>
      </w:pPr>
      <w:r>
        <w:rPr/>
        <w:t> </w:t>
      </w:r>
    </w:p>
    <w:tbl>
      <w:tblPr>
        <w:tblW w:w="7407" w:type="dxa"/>
        <w:jc w:val="left"/>
        <w:tblInd w:w="0" w:type="dxa"/>
        <w:tblLayout w:type="fixed"/>
        <w:tblCellMar>
          <w:top w:w="28" w:type="dxa"/>
          <w:left w:w="28" w:type="dxa"/>
          <w:bottom w:w="28" w:type="dxa"/>
          <w:right w:w="28" w:type="dxa"/>
        </w:tblCellMar>
      </w:tblPr>
      <w:tblGrid>
        <w:gridCol w:w="2596"/>
        <w:gridCol w:w="146"/>
        <w:gridCol w:w="235"/>
        <w:gridCol w:w="722"/>
        <w:gridCol w:w="307"/>
        <w:gridCol w:w="175"/>
        <w:gridCol w:w="235"/>
        <w:gridCol w:w="722"/>
        <w:gridCol w:w="256"/>
        <w:gridCol w:w="146"/>
        <w:gridCol w:w="196"/>
        <w:gridCol w:w="511"/>
        <w:gridCol w:w="146"/>
        <w:gridCol w:w="146"/>
        <w:gridCol w:w="146"/>
        <w:gridCol w:w="42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25,197</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10,794</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Gross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gross profit as total net revenue less cost of revenue, and define gross margin, expressed as a percentage, as the ratio of gross profit to revenue. Gross profit and margin can be used to understand our financial performance and efficiency and allow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investors to evaluate its pricing strategy and compare it against competitors. We use these metrics to make strategic decisions identifying areas for improvement, set targets for future performance and make informed decisions about how to allocate resources going forward.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Key Components and Comparison of Results of Operations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Net Revenue</w:t>
      </w:r>
    </w:p>
    <w:p>
      <w:pPr>
        <w:pStyle w:val="Heading2"/>
        <w:bidi w:val="0"/>
        <w:jc w:val="left"/>
        <w:rPr/>
      </w:pPr>
      <w:r>
        <w:rPr/>
        <w:t> </w:t>
      </w:r>
    </w:p>
    <w:tbl>
      <w:tblPr>
        <w:tblW w:w="7299" w:type="dxa"/>
        <w:jc w:val="left"/>
        <w:tblInd w:w="0" w:type="dxa"/>
        <w:tblLayout w:type="fixed"/>
        <w:tblCellMar>
          <w:top w:w="28" w:type="dxa"/>
          <w:left w:w="28" w:type="dxa"/>
          <w:bottom w:w="28" w:type="dxa"/>
          <w:right w:w="28" w:type="dxa"/>
        </w:tblCellMar>
      </w:tblPr>
      <w:tblGrid>
        <w:gridCol w:w="2596"/>
        <w:gridCol w:w="146"/>
        <w:gridCol w:w="249"/>
        <w:gridCol w:w="765"/>
        <w:gridCol w:w="185"/>
        <w:gridCol w:w="185"/>
        <w:gridCol w:w="249"/>
        <w:gridCol w:w="765"/>
        <w:gridCol w:w="146"/>
        <w:gridCol w:w="146"/>
        <w:gridCol w:w="196"/>
        <w:gridCol w:w="511"/>
        <w:gridCol w:w="146"/>
        <w:gridCol w:w="146"/>
        <w:gridCol w:w="146"/>
        <w:gridCol w:w="42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2026, and 2025</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Net revenue increased by $6.4 million or 33.7% for the three months ended March 31, 2026, as compared to the same period in 2025, which is driven primarily by an increase of $4.8 million or 30.0% in net revenue from our MLPE product line, which is attributable to an increased market acceptance of the products. Additionally, net revenue from our GO ESS products increased by $2.0 million or 96.4% for the three months ended March 31, 2026, compared to the same period in 2025, which is primarily attributable to the sale of $2.2 million of our GO ESS products to a customer in Italy and increased solar repowering activities in the United States. </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Please see the section below for a discussion of the factors influencing the fluctuations in net revenue for each geographic region.</w:t>
      </w:r>
    </w:p>
    <w:tbl>
      <w:tblPr>
        <w:tblW w:w="7379" w:type="dxa"/>
        <w:jc w:val="left"/>
        <w:tblInd w:w="0" w:type="dxa"/>
        <w:tblLayout w:type="fixed"/>
        <w:tblCellMar>
          <w:top w:w="28" w:type="dxa"/>
          <w:left w:w="28" w:type="dxa"/>
          <w:bottom w:w="28" w:type="dxa"/>
          <w:right w:w="28" w:type="dxa"/>
        </w:tblCellMar>
      </w:tblPr>
      <w:tblGrid>
        <w:gridCol w:w="2596"/>
        <w:gridCol w:w="146"/>
        <w:gridCol w:w="249"/>
        <w:gridCol w:w="765"/>
        <w:gridCol w:w="185"/>
        <w:gridCol w:w="185"/>
        <w:gridCol w:w="249"/>
        <w:gridCol w:w="765"/>
        <w:gridCol w:w="146"/>
        <w:gridCol w:w="146"/>
        <w:gridCol w:w="196"/>
        <w:gridCol w:w="511"/>
        <w:gridCol w:w="166"/>
        <w:gridCol w:w="146"/>
        <w:gridCol w:w="146"/>
        <w:gridCol w:w="42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25,197</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2026, and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EMEA - Net revenue for the EMEA region increased by $6.0 million or 51.7% for the three months ended March 31, 2026</w:t>
      </w:r>
      <w:r>
        <w:rPr>
          <w:rFonts w:ascii="Times New Roman" w:hAnsi="Times New Roman"/>
          <w:i/>
          <w:color w:val="000000"/>
          <w:sz w:val="20"/>
        </w:rPr>
        <w:t xml:space="preserve">, </w:t>
      </w:r>
      <w:r>
        <w:rPr>
          <w:rFonts w:ascii="Times New Roman" w:hAnsi="Times New Roman"/>
          <w:color w:val="000000"/>
          <w:sz w:val="20"/>
        </w:rPr>
        <w:t xml:space="preserve">as compared to the same period in 2025, which is driven primarily by an increase of $4.7 million and $1.2. million in net revenue from our MLPE and GO ESS products, respectively. The growth was primarily driven by higher demand of our MLPE products in the Czech Republic, Italy, Spain and Poland, in addition to the sale of $2.2 million of our GO ESS products to a customer in Italy.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Americas - Net revenue for the Americas region increased by $0.6 million or 11.8% for the three months ended March 31, 2026</w:t>
      </w:r>
      <w:r>
        <w:rPr>
          <w:rFonts w:ascii="Times New Roman" w:hAnsi="Times New Roman"/>
          <w:i/>
          <w:color w:val="000000"/>
          <w:sz w:val="20"/>
        </w:rPr>
        <w:t xml:space="preserve">, </w:t>
      </w:r>
      <w:r>
        <w:rPr>
          <w:rFonts w:ascii="Times New Roman" w:hAnsi="Times New Roman"/>
          <w:color w:val="000000"/>
          <w:sz w:val="20"/>
        </w:rPr>
        <w:t>as compared to the same period in 2025, which is driven primarily by increases of $0.7 million and $0.3 million of net revenue from our GO ESS and MLPE products, respectively. This growth was primarily attributable to increased demand in the United States, driven by increased solar repowering activities for our GO ESS products, and increased market acceptance of our MLPE products. The increase was partially offset by a $0.4 million decrease in royalty revenue for the three months ended March 31, 2026 compared to the same period in 2025. As noted above, following the patent sale in December 2025, seller-retained royalties are no longer recognized in net revenue, and are now recognized in other (income) expense, net when and if earned. For more information, see Note 14, “Patent Sale” of the notes to condensed consolidated financial statements included in Part I, Item 1 of this Quarterly Report on Form 10-Q.</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APAC - Net revenue for the APAC region decreased by $0.2 million or 6.5% for the three months ended March 31, 2026</w:t>
      </w:r>
      <w:r>
        <w:rPr>
          <w:rFonts w:ascii="Times New Roman" w:hAnsi="Times New Roman"/>
          <w:i/>
          <w:color w:val="000000"/>
          <w:sz w:val="20"/>
        </w:rPr>
        <w:t xml:space="preserve">, </w:t>
      </w:r>
      <w:r>
        <w:rPr>
          <w:rFonts w:ascii="Times New Roman" w:hAnsi="Times New Roman"/>
          <w:color w:val="000000"/>
          <w:sz w:val="20"/>
        </w:rPr>
        <w:t xml:space="preserve">as compared to the same period in 2025, which is driven primarily by a decrease of $0.2 million in net revenue from our MLPE products. This decrease was primarily driven by lower demand of our MLPE products in the Philippines, China and Thailand. The decrease was partially offset by an increase in demand of our MLPE products in Australia.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Cost of Revenues and Gross Profit</w:t>
      </w:r>
    </w:p>
    <w:p>
      <w:pPr>
        <w:pStyle w:val="Heading2"/>
        <w:bidi w:val="0"/>
        <w:jc w:val="left"/>
        <w:rPr/>
      </w:pPr>
      <w:r>
        <w:rPr/>
        <w:t> </w:t>
      </w:r>
    </w:p>
    <w:tbl>
      <w:tblPr>
        <w:tblW w:w="7407" w:type="dxa"/>
        <w:jc w:val="left"/>
        <w:tblInd w:w="0" w:type="dxa"/>
        <w:tblLayout w:type="fixed"/>
        <w:tblCellMar>
          <w:top w:w="28" w:type="dxa"/>
          <w:left w:w="28" w:type="dxa"/>
          <w:bottom w:w="28" w:type="dxa"/>
          <w:right w:w="28" w:type="dxa"/>
        </w:tblCellMar>
      </w:tblPr>
      <w:tblGrid>
        <w:gridCol w:w="2596"/>
        <w:gridCol w:w="146"/>
        <w:gridCol w:w="235"/>
        <w:gridCol w:w="722"/>
        <w:gridCol w:w="307"/>
        <w:gridCol w:w="175"/>
        <w:gridCol w:w="235"/>
        <w:gridCol w:w="722"/>
        <w:gridCol w:w="256"/>
        <w:gridCol w:w="146"/>
        <w:gridCol w:w="196"/>
        <w:gridCol w:w="511"/>
        <w:gridCol w:w="146"/>
        <w:gridCol w:w="146"/>
        <w:gridCol w:w="146"/>
        <w:gridCol w:w="42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14,403</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10,794</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2026, and 2025</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Cost of revenues increased by $2.7 million or 23.5% for the three months ended March 31, 2026, as compared to the same period in 2025, which is primarily driven by a 33.7% increase in net revenue for the three months ended March 31, 2026, compared to the same period in 2025. In addition to higher net revenue, the increase was primarily driven by a $0.5 million increase in inventory scrap expense, mainly related to obsolete raw materials, and a $0.7 million increase in expense associated with tariffs enacted in 2025. The increase was partially offset by higher sales volumes of GO ESS inventory that had been previously impaired in the second half of 2024, as well as a $1.3 million decrease in warranty expense for the three months ended March 31, 2026 compared to the same period in 2025. The decrease in warranty expense was primarily due to changes in estimated shipping costs during the three months ended March 31, 2025.</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Gross profit increased by $3.6 million or 50.5% for the three months ended March 31, 2026, as compared to the same period in 2025. Gross margin increased by 4.7 percentage points for the three months ended March 31, 2026, as compared to the same period in 2025. The increase was primarily driven by higher-margin sales of GO ESS inventory that had been previously reserved in the second half of 2024, as well as a decrease in warranty expense for the three months ended March 31, 2026 compared to the same period in 2025, as noted above.</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Research and Development</w:t>
      </w:r>
    </w:p>
    <w:p>
      <w:pPr>
        <w:pStyle w:val="Heading2"/>
        <w:bidi w:val="0"/>
        <w:jc w:val="both"/>
        <w:rPr/>
      </w:pPr>
      <w:r>
        <w:rPr/>
        <w:t> </w:t>
      </w:r>
    </w:p>
    <w:tbl>
      <w:tblPr>
        <w:tblW w:w="7275" w:type="dxa"/>
        <w:jc w:val="left"/>
        <w:tblInd w:w="0" w:type="dxa"/>
        <w:tblLayout w:type="fixed"/>
        <w:tblCellMar>
          <w:top w:w="28" w:type="dxa"/>
          <w:left w:w="28" w:type="dxa"/>
          <w:bottom w:w="28" w:type="dxa"/>
          <w:right w:w="28" w:type="dxa"/>
        </w:tblCellMar>
      </w:tblPr>
      <w:tblGrid>
        <w:gridCol w:w="2596"/>
        <w:gridCol w:w="146"/>
        <w:gridCol w:w="259"/>
        <w:gridCol w:w="675"/>
        <w:gridCol w:w="338"/>
        <w:gridCol w:w="193"/>
        <w:gridCol w:w="259"/>
        <w:gridCol w:w="675"/>
        <w:gridCol w:w="256"/>
        <w:gridCol w:w="146"/>
        <w:gridCol w:w="196"/>
        <w:gridCol w:w="376"/>
        <w:gridCol w:w="146"/>
        <w:gridCol w:w="146"/>
        <w:gridCol w:w="146"/>
        <w:gridCol w:w="42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2026, and 2025</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Research and development expense increased by $0.5 million or 22.2% for the three months ended March 31, 2026, as compared to the same period in 2025. The increase was primarily attributable to higher payroll-related expenses and bonus expense, driven by increased headcount and the timing of bonus accruals during the three months ended March 31, 2026, compared to the same period in 2025.</w:t>
      </w:r>
    </w:p>
    <w:p>
      <w:pPr>
        <w:pStyle w:val="Heading2"/>
        <w:bidi w:val="0"/>
        <w:spacing w:before="160" w:after="283"/>
        <w:jc w:val="both"/>
        <w:rPr>
          <w:rFonts w:ascii="Times New Roman" w:hAnsi="Times New Roman"/>
          <w:i/>
          <w:color w:val="000000"/>
          <w:sz w:val="20"/>
        </w:rPr>
      </w:pPr>
      <w:r>
        <w:rPr>
          <w:rFonts w:ascii="Times New Roman" w:hAnsi="Times New Roman"/>
          <w:i/>
          <w:color w:val="000000"/>
          <w:sz w:val="20"/>
        </w:rPr>
        <w:t>Sales and Marketing</w:t>
      </w:r>
    </w:p>
    <w:p>
      <w:pPr>
        <w:pStyle w:val="Heading2"/>
        <w:bidi w:val="0"/>
        <w:jc w:val="left"/>
        <w:rPr/>
      </w:pPr>
      <w:r>
        <w:rPr/>
        <w:t> </w:t>
      </w:r>
    </w:p>
    <w:tbl>
      <w:tblPr>
        <w:tblW w:w="7275" w:type="dxa"/>
        <w:jc w:val="left"/>
        <w:tblInd w:w="0" w:type="dxa"/>
        <w:tblLayout w:type="fixed"/>
        <w:tblCellMar>
          <w:top w:w="28" w:type="dxa"/>
          <w:left w:w="28" w:type="dxa"/>
          <w:bottom w:w="28" w:type="dxa"/>
          <w:right w:w="28" w:type="dxa"/>
        </w:tblCellMar>
      </w:tblPr>
      <w:tblGrid>
        <w:gridCol w:w="2596"/>
        <w:gridCol w:w="146"/>
        <w:gridCol w:w="259"/>
        <w:gridCol w:w="675"/>
        <w:gridCol w:w="338"/>
        <w:gridCol w:w="193"/>
        <w:gridCol w:w="259"/>
        <w:gridCol w:w="675"/>
        <w:gridCol w:w="256"/>
        <w:gridCol w:w="146"/>
        <w:gridCol w:w="196"/>
        <w:gridCol w:w="376"/>
        <w:gridCol w:w="146"/>
        <w:gridCol w:w="146"/>
        <w:gridCol w:w="146"/>
        <w:gridCol w:w="42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4,480</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2026, and 2025</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Sales and marketing expense increased by $0.6 million or 14.4% for the three months ended March 31, 2026, as compared to the same period in 2025. The increase was primarily attributable to higher payroll-related expenses and bonus expense, driven by increased headcount and the timing of bonus accruals during the three months ended March 31, 2026, compared to the same period in 2025.</w:t>
      </w:r>
    </w:p>
    <w:p>
      <w:pPr>
        <w:pStyle w:val="Heading2"/>
        <w:bidi w:val="0"/>
        <w:spacing w:before="160" w:after="283"/>
        <w:jc w:val="both"/>
        <w:rPr>
          <w:rFonts w:ascii="Times New Roman" w:hAnsi="Times New Roman"/>
          <w:i/>
          <w:color w:val="000000"/>
          <w:sz w:val="20"/>
        </w:rPr>
      </w:pPr>
      <w:r>
        <w:rPr>
          <w:rFonts w:ascii="Times New Roman" w:hAnsi="Times New Roman"/>
          <w:i/>
          <w:color w:val="000000"/>
          <w:sz w:val="20"/>
        </w:rPr>
        <w:t>General and Administrative</w:t>
      </w:r>
    </w:p>
    <w:p>
      <w:pPr>
        <w:pStyle w:val="Heading2"/>
        <w:bidi w:val="0"/>
        <w:jc w:val="left"/>
        <w:rPr/>
      </w:pPr>
      <w:r>
        <w:rPr/>
        <w:t> </w:t>
      </w:r>
    </w:p>
    <w:tbl>
      <w:tblPr>
        <w:tblW w:w="7410" w:type="dxa"/>
        <w:jc w:val="left"/>
        <w:tblInd w:w="0" w:type="dxa"/>
        <w:tblLayout w:type="fixed"/>
        <w:tblCellMar>
          <w:top w:w="28" w:type="dxa"/>
          <w:left w:w="28" w:type="dxa"/>
          <w:bottom w:w="28" w:type="dxa"/>
          <w:right w:w="28" w:type="dxa"/>
        </w:tblCellMar>
      </w:tblPr>
      <w:tblGrid>
        <w:gridCol w:w="2596"/>
        <w:gridCol w:w="146"/>
        <w:gridCol w:w="259"/>
        <w:gridCol w:w="675"/>
        <w:gridCol w:w="338"/>
        <w:gridCol w:w="193"/>
        <w:gridCol w:w="259"/>
        <w:gridCol w:w="675"/>
        <w:gridCol w:w="256"/>
        <w:gridCol w:w="146"/>
        <w:gridCol w:w="196"/>
        <w:gridCol w:w="511"/>
        <w:gridCol w:w="146"/>
        <w:gridCol w:w="146"/>
        <w:gridCol w:w="146"/>
        <w:gridCol w:w="42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6,080</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2026, and 2025</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General and administrative expense increased by $1.0 million or 19.9% for the three months ended March 31, 2026, as compared to the same period in 2025. The increase was primarily attributable to higher bad debt expense related to a customer bankruptcy, increased payroll and related expenses, and higher office and facilities insurance expense. The increase in payroll and related expenses was driven by higher employee-related costs across multiple payroll expense categories compared for the three months ended March 31, 2026, compared to the same period in 2025. These increases were partially offset by lower professional services expense primarily due to decreased legal expense in the three months ended March 31, 2026 compared to the same period in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Other (Income) Expenses, Net</w:t>
      </w:r>
    </w:p>
    <w:p>
      <w:pPr>
        <w:pStyle w:val="Heading2"/>
        <w:bidi w:val="0"/>
        <w:jc w:val="left"/>
        <w:rPr/>
      </w:pPr>
      <w:r>
        <w:rPr/>
        <w:t> </w:t>
      </w:r>
    </w:p>
    <w:tbl>
      <w:tblPr>
        <w:tblW w:w="7611" w:type="dxa"/>
        <w:jc w:val="left"/>
        <w:tblInd w:w="0" w:type="dxa"/>
        <w:tblLayout w:type="fixed"/>
        <w:tblCellMar>
          <w:top w:w="28" w:type="dxa"/>
          <w:left w:w="28" w:type="dxa"/>
          <w:bottom w:w="28" w:type="dxa"/>
          <w:right w:w="28" w:type="dxa"/>
        </w:tblCellMar>
      </w:tblPr>
      <w:tblGrid>
        <w:gridCol w:w="2596"/>
        <w:gridCol w:w="146"/>
        <w:gridCol w:w="285"/>
        <w:gridCol w:w="634"/>
        <w:gridCol w:w="241"/>
        <w:gridCol w:w="212"/>
        <w:gridCol w:w="285"/>
        <w:gridCol w:w="743"/>
        <w:gridCol w:w="166"/>
        <w:gridCol w:w="146"/>
        <w:gridCol w:w="196"/>
        <w:gridCol w:w="571"/>
        <w:gridCol w:w="166"/>
        <w:gridCol w:w="146"/>
        <w:gridCol w:w="146"/>
        <w:gridCol w:w="57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Three months ended March 31,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decreased by $2.9 million for the three months ended March 31, 2026, as compared to the same period in 2025, primarily due to the extinguishment of the Convertible Promissory Note in December 2025, resulting in no related interest expense during the three months ended March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increased by $0.4 million for the three months ended March 31, 2026, as compared to the same periods in 2025, primarily due to royalty income being recognized in other income, net for the three months ended March 31, 2026, following the sale of certain patent rights in December 2025. Royalty income was recognized in revenue during the three months ended March 31, 2025. For more information, see Note 14, “Patent Sale” of the notes to condensed consolidated financial statements included in Part I, Item 1 of this Quarterly Report on Form 10-Q.</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Income Tax (Benefit) Expense</w:t>
      </w:r>
    </w:p>
    <w:p>
      <w:pPr>
        <w:pStyle w:val="Heading2"/>
        <w:bidi w:val="0"/>
        <w:jc w:val="both"/>
        <w:rPr/>
      </w:pPr>
      <w:r>
        <w:rPr/>
        <w:t> </w:t>
      </w:r>
    </w:p>
    <w:tbl>
      <w:tblPr>
        <w:tblW w:w="7454" w:type="dxa"/>
        <w:jc w:val="left"/>
        <w:tblInd w:w="0" w:type="dxa"/>
        <w:tblLayout w:type="fixed"/>
        <w:tblCellMar>
          <w:top w:w="28" w:type="dxa"/>
          <w:left w:w="28" w:type="dxa"/>
          <w:bottom w:w="28" w:type="dxa"/>
          <w:right w:w="28" w:type="dxa"/>
        </w:tblCellMar>
      </w:tblPr>
      <w:tblGrid>
        <w:gridCol w:w="2596"/>
        <w:gridCol w:w="146"/>
        <w:gridCol w:w="310"/>
        <w:gridCol w:w="690"/>
        <w:gridCol w:w="262"/>
        <w:gridCol w:w="231"/>
        <w:gridCol w:w="310"/>
        <w:gridCol w:w="595"/>
        <w:gridCol w:w="146"/>
        <w:gridCol w:w="146"/>
        <w:gridCol w:w="196"/>
        <w:gridCol w:w="436"/>
        <w:gridCol w:w="166"/>
        <w:gridCol w:w="146"/>
        <w:gridCol w:w="146"/>
        <w:gridCol w:w="57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20"/>
        <w:jc w:val="both"/>
        <w:rPr>
          <w:rFonts w:ascii="Times New Roman" w:hAnsi="Times New Roman"/>
          <w:i/>
          <w:color w:val="000000"/>
          <w:sz w:val="20"/>
        </w:rPr>
      </w:pPr>
      <w:r>
        <w:rPr>
          <w:rFonts w:ascii="Times New Roman" w:hAnsi="Times New Roman"/>
          <w:i/>
          <w:color w:val="000000"/>
          <w:sz w:val="20"/>
        </w:rPr>
        <w:t>Three months ended March 31, 2026, and 2025</w:t>
      </w:r>
    </w:p>
    <w:p>
      <w:pPr>
        <w:pStyle w:val="TextBody"/>
        <w:bidi w:val="0"/>
        <w:jc w:val="both"/>
        <w:rPr>
          <w:rFonts w:ascii="Times New Roman" w:hAnsi="Times New Roman"/>
          <w:color w:val="000000"/>
          <w:sz w:val="20"/>
        </w:rPr>
      </w:pPr>
      <w:r>
        <w:rPr>
          <w:rFonts w:ascii="Times New Roman" w:hAnsi="Times New Roman"/>
          <w:color w:val="000000"/>
          <w:sz w:val="20"/>
        </w:rPr>
        <w:t>Income tax benefit of $0.2 million incurred during the three months ended March 31, 2026 was primarily due to primarily related to realized foreign currency translation losses recognized by a foreign subsidiary. Income tax expense of $0.3 million incurred during the three months ended March 31, 2025, was primarily due to the estimated settlement of a foreign tax examination. For more information, see Note 13, “Income Taxes”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our principal sources of liquidity were cash and cash equivalents of $11.6 million and total working capital, which we define as current assets less current liabilities, of $32.7 million, and availability under our revolving credit facility. Our principal uses of cash are for funding our operations, capital expenditures, other working capital requirements and other investments. On February 26, 2026, we closed the Registered Direct Offering resulting in gross proceeds of $15.0 million, and net proceeds of approximately $14.0 million, after deducting placement agent fees and offering expenses. We believe that our cash provided by operations, as well as the gross proceeds received from the Registered Direct Offering and our borrowing capacity under the Credit Facility, will provide adequate liquidity for ongoing operations, planned capital expenditures and other investments for at least the next 12 months from the issuance date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In March 2026, we entered into the Credit Facility with Wells Fargo that provides for borrowings of up to $10.0 million. As of March 31, 2026, there were no borrowings outstanding under the facility. For more information, see Note 7, “Debt”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Convertible Note.</w:t>
      </w:r>
      <w:r>
        <w:rPr>
          <w:rFonts w:ascii="Times New Roman" w:hAnsi="Times New Roman"/>
          <w:color w:val="000000"/>
          <w:sz w:val="20"/>
        </w:rPr>
        <w:t xml:space="preserve"> On December 17, 2025, we extinguished our Convertible Promissory Notes by paying $51.3 million in cash, which included principal, accrued interest and fees associated with the extinguishment. As of March 31, 2026 we had no outstanding debt obligations. For more information, see Note 7, “Debt” of the notes to condensed consolidated financial statements included in Part I, Item 1 of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Leases</w:t>
      </w:r>
      <w:r>
        <w:rPr>
          <w:rFonts w:ascii="Times New Roman" w:hAnsi="Times New Roman"/>
          <w:i/>
          <w:color w:val="000000"/>
          <w:sz w:val="20"/>
        </w:rPr>
        <w:t>.</w:t>
      </w:r>
      <w:r>
        <w:rPr>
          <w:rFonts w:ascii="Times New Roman" w:hAnsi="Times New Roman"/>
          <w:color w:val="000000"/>
          <w:sz w:val="20"/>
        </w:rPr>
        <w:t xml:space="preserve"> We have entered into various non-cancelable operating leases primarily for our facilities with original lease periods expiring through the year 2029, with our most significant leases relating to our facilities in Los Gatos, California and Ra’anana, Israel. As of March 31, 2026 we had total lease obligations of $2.5 million recorded on our condensed consolidated balance sheet. For more information, see Note 11, “Leases” of the notes to condensed consolidated financial statements included in Part I, Item 1 of this Quarterly Report on Form 10-Q.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550" w:type="dxa"/>
        <w:jc w:val="left"/>
        <w:tblInd w:w="0" w:type="dxa"/>
        <w:tblLayout w:type="fixed"/>
        <w:tblCellMar>
          <w:top w:w="28" w:type="dxa"/>
          <w:left w:w="28" w:type="dxa"/>
          <w:bottom w:w="28" w:type="dxa"/>
          <w:right w:w="28" w:type="dxa"/>
        </w:tblCellMar>
      </w:tblPr>
      <w:tblGrid>
        <w:gridCol w:w="3796"/>
        <w:gridCol w:w="146"/>
        <w:gridCol w:w="250"/>
        <w:gridCol w:w="769"/>
        <w:gridCol w:w="212"/>
        <w:gridCol w:w="186"/>
        <w:gridCol w:w="250"/>
        <w:gridCol w:w="730"/>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tariffs, interest rates, inflation or the supply chain, including timing of cash collections from customers and other risks which are detailed in the section entitled “Cautionary Note Regarding Forward-Looking Statements” included elsewhere in this Quarterly Report on Form 10-Q, including in Part II, Item 1A, “Risk Factors” of this Quarterly Report on Form 10-Q and in Part I, Item 1A, “Risk Factors,” in the 2025 Annual Report.</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from operating activities consisted of net loss adjusted for certain non-cash reconciling items, such as non-cash interest expense, stock-based compensation expense, provision to write down inventories to net realizable value, depreciation and amortization, and non-cash lease expense, and changes in our operating assets and liabilities. Cash used in operating activities increased by $8.7 million during the three months ended March 31, 2026, as compared to the same period in 2025.</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was $0.2 million for the three months ended March 31, 2026, which is primarily attributable to the purchase of property and equipment. Net cash used in investing activities was $3.5 million for the three months ended March 31, 2025, which is primarily attributable to the purchase of marketable securities and was partially offset by the sale of marketable securities. </w:t>
      </w:r>
    </w:p>
    <w:p>
      <w:pPr>
        <w:pStyle w:val="TextBody"/>
        <w:bidi w:val="0"/>
        <w:spacing w:before="360" w:after="283"/>
        <w:jc w:val="both"/>
        <w:rPr>
          <w:rFonts w:ascii="Times New Roman" w:hAnsi="Times New Roman"/>
          <w:sz w:val="20"/>
        </w:rPr>
      </w:pPr>
      <w:r>
        <w:rPr>
          <w:rFonts w:ascii="Times New Roman" w:hAnsi="Times New Roman"/>
          <w:i/>
          <w:color w:val="000000"/>
          <w:sz w:val="20"/>
        </w:rPr>
        <w:t>Cash Flows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increased by $12.5 million during the three months ended March 31, 2026, compared to the same period in 2025 which is primarily attributable to the proceeds from the Company’s Registered Direct Offering and proceeds from the exercise of stock options during the current period. These inflows were partially offset by the payment of offering costs related to the Registered Direct Offering, and payment of tax withholdings on restricted stock awards, performance stock awards, and exercised options.</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Contractual Obligations</w:t>
      </w:r>
    </w:p>
    <w:p>
      <w:pPr>
        <w:pStyle w:val="TextBody"/>
        <w:bidi w:val="0"/>
        <w:jc w:val="both"/>
        <w:rPr>
          <w:rFonts w:ascii="Times New Roman" w:hAnsi="Times New Roman"/>
          <w:color w:val="000000"/>
          <w:sz w:val="20"/>
        </w:rPr>
      </w:pPr>
      <w:r>
        <w:rPr>
          <w:rFonts w:ascii="Times New Roman" w:hAnsi="Times New Roman"/>
          <w:color w:val="000000"/>
          <w:sz w:val="20"/>
        </w:rPr>
        <w:t>Our contractual obligations primarily consist of our obligations under operating leases and inventory component purchases. As of March 31, 2026, there have been no material changes from our disclosure in our 2025 Annual Report. For more information on our future minimum operating leases, see Note 11, “Leases” and for more information on our Convertible Promissory Notes and other related debt of this Quarterly Report on Form 10-Q.</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Off-Balance Sheet Arrangements</w:t>
      </w:r>
    </w:p>
    <w:p>
      <w:pPr>
        <w:pStyle w:val="TextBody"/>
        <w:bidi w:val="0"/>
        <w:jc w:val="both"/>
        <w:rPr>
          <w:rFonts w:ascii="Times New Roman" w:hAnsi="Times New Roman"/>
          <w:color w:val="000000"/>
          <w:sz w:val="20"/>
        </w:rPr>
      </w:pPr>
      <w:r>
        <w:rPr>
          <w:rFonts w:ascii="Times New Roman" w:hAnsi="Times New Roman"/>
          <w:color w:val="000000"/>
          <w:sz w:val="20"/>
        </w:rPr>
        <w:t>During the periods presented, the Company did not have any off-balance sheet arrangements.</w:t>
      </w:r>
    </w:p>
    <w:p>
      <w:pPr>
        <w:pStyle w:val="Heading2"/>
        <w:bidi w:val="0"/>
        <w:spacing w:before="360" w:after="120"/>
        <w:jc w:val="both"/>
        <w:rPr>
          <w:rFonts w:ascii="Times New Roman" w:hAnsi="Times New Roman"/>
          <w:color w:val="000000"/>
          <w:sz w:val="20"/>
        </w:rPr>
      </w:pPr>
      <w:r>
        <w:rPr>
          <w:rFonts w:ascii="Times New Roman" w:hAnsi="Times New Roman"/>
          <w:color w:val="000000"/>
          <w:sz w:val="20"/>
        </w:rPr>
        <w:t>Critical Accounting Estimates</w:t>
      </w:r>
    </w:p>
    <w:p>
      <w:pPr>
        <w:pStyle w:val="TextBody"/>
        <w:bidi w:val="0"/>
        <w:jc w:val="both"/>
        <w:rPr>
          <w:rFonts w:ascii="Times New Roman" w:hAnsi="Times New Roman"/>
          <w:color w:val="000000"/>
          <w:sz w:val="20"/>
        </w:rPr>
      </w:pPr>
      <w:r>
        <w:rPr>
          <w:rFonts w:ascii="Times New Roman" w:hAnsi="Times New Roman"/>
          <w:color w:val="000000"/>
          <w:sz w:val="20"/>
        </w:rPr>
        <w:t>For the period ended March 31, 2026, there have been no material changes to our critical accounting estimates from the information reported in our 2025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bookmarkStart w:id="9" w:name="item_3_quantitative_and_qualitative"/>
      <w:bookmarkEnd w:id="9"/>
      <w:r>
        <w:rPr>
          <w:rFonts w:ascii="Times New Roman" w:hAnsi="Times New Roman"/>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Heading2"/>
        <w:bidi w:val="0"/>
        <w:spacing w:before="360" w:after="283"/>
        <w:jc w:val="both"/>
        <w:rPr>
          <w:rFonts w:ascii="Times New Roman" w:hAnsi="Times New Roman"/>
          <w:color w:val="000000"/>
          <w:sz w:val="20"/>
        </w:rPr>
      </w:pPr>
      <w:bookmarkStart w:id="10" w:name="item_4_controls_and_procedures"/>
      <w:bookmarkEnd w:id="10"/>
      <w:r>
        <w:rPr>
          <w:rFonts w:ascii="Times New Roman" w:hAnsi="Times New Roman"/>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of March 31, 2026, as defined in Rules 13a-15(e) and 15d-15(e) under the Securities Exchange Act of 1934, as amended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effective as of March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Rules 13a-15(d) and 15d-15(d) of the Exchange Act that occurred during the three months ended March 31, 2026, that have materially affected, or are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the Effectiveness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Heading2"/>
        <w:bidi w:val="0"/>
        <w:spacing w:before="360" w:after="283"/>
        <w:jc w:val="center"/>
        <w:rPr>
          <w:rFonts w:ascii="Times New Roman" w:hAnsi="Times New Roman"/>
          <w:color w:val="000000"/>
          <w:sz w:val="20"/>
        </w:rPr>
      </w:pPr>
      <w:r>
        <w:rPr>
          <w:rFonts w:ascii="Times New Roman" w:hAnsi="Times New Roman"/>
          <w:color w:val="000000"/>
          <w:sz w:val="20"/>
        </w:rPr>
        <w:t>PART II—OTHER INFORMATION</w:t>
      </w:r>
    </w:p>
    <w:p>
      <w:pPr>
        <w:pStyle w:val="Heading2"/>
        <w:bidi w:val="0"/>
        <w:spacing w:before="240" w:after="283"/>
        <w:jc w:val="left"/>
        <w:rPr>
          <w:rFonts w:ascii="Times New Roman" w:hAnsi="Times New Roman"/>
          <w:color w:val="000000"/>
          <w:sz w:val="20"/>
        </w:rPr>
      </w:pPr>
      <w:bookmarkStart w:id="11" w:name="item_1_legal_proceedings"/>
      <w:bookmarkEnd w:id="11"/>
      <w:r>
        <w:rPr>
          <w:rFonts w:ascii="Times New Roman" w:hAnsi="Times New Roman"/>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pStyle w:val="Heading2"/>
        <w:bidi w:val="0"/>
        <w:spacing w:before="360" w:after="283"/>
        <w:jc w:val="left"/>
        <w:rPr>
          <w:rFonts w:ascii="Times New Roman" w:hAnsi="Times New Roman"/>
          <w:color w:val="000000"/>
          <w:sz w:val="20"/>
        </w:rPr>
      </w:pPr>
      <w:bookmarkStart w:id="12" w:name="item_1a_risk_factors"/>
      <w:bookmarkEnd w:id="12"/>
      <w:r>
        <w:rPr>
          <w:rFonts w:ascii="Times New Roman" w:hAnsi="Times New Roman"/>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other information set forth in this Quarterly Report on Form 10-Q, you should carefully consider the risk factors disclosed in the section entitled “Risk Factors” in Part I, Item 1A, of the 2025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bookmarkStart w:id="13" w:name="item_2_unregistered_sales_of_equity"/>
      <w:bookmarkEnd w:id="13"/>
      <w:r>
        <w:rPr>
          <w:rFonts w:ascii="Times New Roman" w:hAnsi="Times New Roman"/>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color w:val="000000"/>
          <w:sz w:val="20"/>
        </w:rPr>
      </w:pPr>
      <w:bookmarkStart w:id="14" w:name="tem_3_defaults_upon_senior_securities"/>
      <w:bookmarkEnd w:id="14"/>
      <w:r>
        <w:rPr>
          <w:rFonts w:ascii="Times New Roman" w:hAnsi="Times New Roman"/>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color w:val="000000"/>
          <w:sz w:val="20"/>
        </w:rPr>
      </w:pPr>
      <w:bookmarkStart w:id="15" w:name="item_4_mine_safety_disclosures"/>
      <w:bookmarkEnd w:id="15"/>
      <w:r>
        <w:rPr>
          <w:rFonts w:ascii="Times New Roman" w:hAnsi="Times New Roman"/>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360" w:after="283"/>
        <w:jc w:val="both"/>
        <w:rPr>
          <w:rFonts w:ascii="Times New Roman" w:hAnsi="Times New Roman"/>
          <w:color w:val="000000"/>
          <w:sz w:val="20"/>
        </w:rPr>
      </w:pPr>
      <w:bookmarkStart w:id="16" w:name="item_5_other_information"/>
      <w:bookmarkEnd w:id="16"/>
      <w:r>
        <w:rPr>
          <w:rFonts w:ascii="Times New Roman" w:hAnsi="Times New Roman"/>
          <w:color w:val="000000"/>
          <w:sz w:val="20"/>
        </w:rPr>
        <w:t>Item 5. Other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Second Amended and Restated Certificate of Incorporation.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Article V, Section 3 of the Company’s Second Amended and Restated Certificate of Incorporation (the “Certificate of Incorporation”) permits the removal of directors by stockholders only for cause, which, in the absence of a classified board, conflicts with Section 141(k) of the Delaware General Corporation Law (the “DGCL”). The Company does not intend to enforce such provision to the extent it is inconsistent with the DGCL. The Board of Directors of the Company intends to consider proposing an amendment to the Certificate of Incorporation to bring it into compliance with Section 141(k) and recommend approval by the Company’s stockholders at the Company’s 2027 annual meeting of stockholders.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March 31, 2026, none of our directors or officers adopted or terminated a “Rule 10b5-1 trading arrangement” or “non-Rule 10b5-1 trading arrangement,” as each term is defined in Item 408(a) of Regulation S-K.</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4"/>
        <w:gridCol w:w="147"/>
        <w:gridCol w:w="9014"/>
      </w:tblGrid>
      <w:tr>
        <w:trPr/>
        <w:tc>
          <w:tcPr>
            <w:tcW w:w="10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14" w:type="dxa"/>
            <w:tcBorders/>
            <w:vAlign w:val="center"/>
          </w:tcPr>
          <w:p>
            <w:pPr>
              <w:pStyle w:val="TableContents"/>
              <w:bidi w:val="0"/>
              <w:spacing w:before="0" w:after="283"/>
              <w:jc w:val="left"/>
              <w:rPr>
                <w:sz w:val="4"/>
                <w:szCs w:val="4"/>
              </w:rPr>
            </w:pPr>
            <w:r>
              <w:rPr>
                <w:sz w:val="4"/>
                <w:szCs w:val="4"/>
              </w:rPr>
            </w:r>
          </w:p>
        </w:tc>
      </w:tr>
      <w:tr>
        <w:trPr/>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shd w:fill="FFFFFF" w:val="clear"/>
            <w:tcMar>
              <w:top w:w="0" w:type="dxa"/>
              <w:left w:w="0" w:type="dxa"/>
              <w:bottom w:w="0" w:type="dxa"/>
              <w:right w:w="0" w:type="dxa"/>
            </w:tcMar>
            <w:vAlign w:val="center"/>
          </w:tcPr>
          <w:p>
            <w:pPr>
              <w:pStyle w:val="TableContents"/>
              <w:bidi w:val="0"/>
              <w:jc w:val="both"/>
              <w:rPr/>
            </w:pPr>
            <w:hyperlink r:id="rId2">
              <w:r>
                <w:rPr>
                  <w:rStyle w:val="InternetLink"/>
                  <w:rFonts w:ascii="Times New Roman" w:hAnsi="Times New Roman"/>
                  <w:color w:val="0000FF"/>
                  <w:sz w:val="20"/>
                  <w:u w:val="single"/>
                </w:rPr>
                <w:t>Second Amended and Restated Certificate of Incorporation of Tigo Energy, Inc. (incorporated by reference</w:t>
              </w:r>
            </w:hyperlink>
          </w:p>
          <w:p>
            <w:pPr>
              <w:pStyle w:val="TableContents"/>
              <w:bidi w:val="0"/>
              <w:spacing w:before="0" w:after="283"/>
              <w:jc w:val="both"/>
              <w:rPr/>
            </w:pPr>
            <w:hyperlink r:id="rId3">
              <w:r>
                <w:rPr>
                  <w:rStyle w:val="InternetLink"/>
                  <w:rFonts w:ascii="Times New Roman" w:hAnsi="Times New Roman"/>
                  <w:color w:val="0000FF"/>
                  <w:sz w:val="20"/>
                  <w:u w:val="single"/>
                </w:rPr>
                <w:t>to Exhibit 3.1 to the Company’s Current Report on Form 8-K, filed with the SEC on May 30, 2023).</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shd w:fill="FFFFFF" w:val="clear"/>
            <w:tcMar>
              <w:top w:w="0" w:type="dxa"/>
              <w:left w:w="0" w:type="dxa"/>
              <w:bottom w:w="0" w:type="dxa"/>
              <w:right w:w="0" w:type="dxa"/>
            </w:tcMar>
            <w:vAlign w:val="center"/>
          </w:tcPr>
          <w:p>
            <w:pPr>
              <w:pStyle w:val="TableContents"/>
              <w:bidi w:val="0"/>
              <w:jc w:val="both"/>
              <w:rPr/>
            </w:pPr>
            <w:hyperlink r:id="rId4">
              <w:r>
                <w:rPr>
                  <w:rStyle w:val="InternetLink"/>
                  <w:rFonts w:ascii="Times New Roman" w:hAnsi="Times New Roman"/>
                  <w:color w:val="0000FF"/>
                  <w:sz w:val="20"/>
                  <w:u w:val="single"/>
                </w:rPr>
                <w:t>Amended and Restated Bylaws of Tigo Energy, Inc. (incorporated by reference to Exhibit 3.2 to the</w:t>
              </w:r>
            </w:hyperlink>
          </w:p>
          <w:p>
            <w:pPr>
              <w:pStyle w:val="TableContents"/>
              <w:bidi w:val="0"/>
              <w:spacing w:before="0" w:after="283"/>
              <w:jc w:val="both"/>
              <w:rPr/>
            </w:pPr>
            <w:hyperlink r:id="rId5">
              <w:r>
                <w:rPr>
                  <w:rStyle w:val="InternetLink"/>
                  <w:rFonts w:ascii="Times New Roman" w:hAnsi="Times New Roman"/>
                  <w:color w:val="0000FF"/>
                  <w:sz w:val="20"/>
                  <w:u w:val="single"/>
                </w:rPr>
                <w:t>Company’s Current Report on Form 8-K, filed with the SEC on May 30, 2023).</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Form of Securities Purchase Agreement, dated February 24, 2026, by and among Tigo Energy, Inc. and the purchasers thereto (incorporated by reference to Exhibit 10.1 to the Company’s Current Report on Form 8-K, filed with the SEC on February 26, 2026).</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Executive Short Term Incentive Plan (incorporated by reference to Exhibit 10.1 to the Company’s Current Report on Form 8-K, filed with the SEC on March 19, 2026).</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Credit Agreement, dated March 31, 2026, by and among Tigo Energy, Inc., as borrower, Tigo Energy MergeCo, Inc., as guarantor, and Wells Fargo Bank, National Association, as lender (incorporated by reference to Exhibit 10.1 to the Company’s Current Report on Form 8-K, filed with the SEC on April 2, 2026).</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1.htm">
              <w:r>
                <w:rPr>
                  <w:rStyle w:val="InternetLink"/>
                  <w:rFonts w:ascii="Times New Roman" w:hAnsi="Times New Roman"/>
                  <w:color w:val="0000FF"/>
                  <w:sz w:val="20"/>
                  <w:u w:val="single"/>
                </w:rPr>
                <w:t>Certification of Chief Executive Officer pursuant to Rule 13a-14(a)/15d-14(a)</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2.htm">
              <w:r>
                <w:rPr>
                  <w:rStyle w:val="InternetLink"/>
                  <w:rFonts w:ascii="Times New Roman" w:hAnsi="Times New Roman"/>
                  <w:color w:val="0000FF"/>
                  <w:sz w:val="20"/>
                  <w:u w:val="single"/>
                </w:rPr>
                <w:t>Certification of Chief Financial Officer pursuant to Rule 13a-14(a)/15d-14(a)</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1.htm">
              <w:r>
                <w:rPr>
                  <w:rStyle w:val="InternetLink"/>
                  <w:rFonts w:ascii="Times New Roman" w:hAnsi="Times New Roman"/>
                  <w:color w:val="0000FF"/>
                  <w:sz w:val="20"/>
                  <w:u w:val="single"/>
                </w:rPr>
                <w:t>Certification of Chief Executive Officer pursuant to Rule 13a-14(b)/15d-14(b)</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2.htm">
              <w:r>
                <w:rPr>
                  <w:rStyle w:val="InternetLink"/>
                  <w:rFonts w:ascii="Times New Roman" w:hAnsi="Times New Roman"/>
                  <w:color w:val="0000FF"/>
                  <w:sz w:val="20"/>
                  <w:u w:val="single"/>
                </w:rPr>
                <w:t>Certification of Chief Financial Officer pursuant to Rule 13a-14(b)/15d-14(b)</w:t>
              </w:r>
            </w:hyperlink>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Cover Page Interactive Data File (formatted as Inline XBRL and contained in Exhibit 101) </w:t>
            </w:r>
          </w:p>
        </w:tc>
      </w:tr>
      <w:tr>
        <w:trPr/>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Filed herewith.</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Furnished herewith. This certification is deemed not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tc>
      </w:tr>
      <w:tr>
        <w:trPr/>
        <w:tc>
          <w:tcPr>
            <w:tcW w:w="10205" w:type="dxa"/>
            <w:gridSpan w:val="3"/>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Annexes, schedules and exhibits to this Exhibit have been omitted pursuant to Item 601(a)(5) of Regulation S-K. The Registrant agrees to furnish supplementally a copy of any omitted schedule or exhibit to the SEC upon request.</w:t>
            </w:r>
          </w:p>
          <w:p>
            <w:pPr>
              <w:pStyle w:val="TableContents"/>
              <w:bidi w:val="0"/>
              <w:spacing w:before="0" w:after="283"/>
              <w:jc w:val="both"/>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81" w:type="dxa"/>
        <w:jc w:val="left"/>
        <w:tblInd w:w="0" w:type="dxa"/>
        <w:tblLayout w:type="fixed"/>
        <w:tblCellMar>
          <w:top w:w="28" w:type="dxa"/>
          <w:left w:w="28" w:type="dxa"/>
          <w:bottom w:w="28" w:type="dxa"/>
          <w:right w:w="28" w:type="dxa"/>
        </w:tblCellMar>
      </w:tblPr>
      <w:tblGrid>
        <w:gridCol w:w="4681"/>
      </w:tblGrid>
      <w:tr>
        <w:trPr/>
        <w:tc>
          <w:tcPr>
            <w:tcW w:w="468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Bill Roeschlein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tygo-ex31_1.htm"/>
      <w:bookmarkStart w:id="20" w:name="kstygo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2026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42" w:type="dxa"/>
        <w:jc w:val="left"/>
        <w:tblInd w:w="0" w:type="dxa"/>
        <w:tblLayout w:type="fixed"/>
        <w:tblCellMar>
          <w:top w:w="28" w:type="dxa"/>
          <w:left w:w="28" w:type="dxa"/>
          <w:bottom w:w="28" w:type="dxa"/>
          <w:right w:w="28" w:type="dxa"/>
        </w:tblCellMar>
      </w:tblPr>
      <w:tblGrid>
        <w:gridCol w:w="1636"/>
        <w:gridCol w:w="4306"/>
      </w:tblGrid>
      <w:tr>
        <w:trPr/>
        <w:tc>
          <w:tcPr>
            <w:tcW w:w="163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5, 2026</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ygo-ex31_2.htm"/>
      <w:bookmarkStart w:id="22" w:name="kstygo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2026 of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5, 2026</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ygo-ex32_1.htm"/>
      <w:bookmarkStart w:id="24" w:name="kstygoex32_1"/>
      <w:bookmarkEnd w:id="23"/>
      <w:bookmarkEnd w:id="24"/>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March 31, 2026,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May 5, 2026</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ygo-ex32_2.htm"/>
      <w:bookmarkStart w:id="26" w:name="kstygoex32_2"/>
      <w:bookmarkEnd w:id="25"/>
      <w:bookmarkEnd w:id="26"/>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Quarterly Report on Form 10-Q of Tigo Energy, Inc. (the “</w:t>
      </w:r>
      <w:r>
        <w:rPr>
          <w:rFonts w:ascii="Times New Roman" w:hAnsi="Times New Roman"/>
          <w:color w:val="000000"/>
          <w:sz w:val="20"/>
          <w:u w:val="single"/>
        </w:rPr>
        <w:t>Company</w:t>
      </w:r>
      <w:r>
        <w:rPr>
          <w:rFonts w:ascii="Times New Roman" w:hAnsi="Times New Roman"/>
          <w:color w:val="000000"/>
          <w:sz w:val="20"/>
        </w:rPr>
        <w:t>”) for the quarter ended March 31, 2026,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May 5, 2026</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21390023044099/ea179362ex3-1_tigoenergy.htm" TargetMode="External"/><Relationship Id="rId3" Type="http://schemas.openxmlformats.org/officeDocument/2006/relationships/hyperlink" Target="https://www.sec.gov/Archives/edgar/data/1855447/000121390023044099/ea179362ex3-1_tigoenergy.htm" TargetMode="External"/><Relationship Id="rId4" Type="http://schemas.openxmlformats.org/officeDocument/2006/relationships/hyperlink" Target="https://www.sec.gov/Archives/edgar/data/1855447/000121390023044099/ea179362ex3-2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hyperlink" Target="https://www.sec.gov/Archives/edgar/data/1855447/000121390026020685/ea027833701ex10-1.htm" TargetMode="External"/><Relationship Id="rId7" Type="http://schemas.openxmlformats.org/officeDocument/2006/relationships/hyperlink" Target="https://www.sec.gov/Archives/edgar/data/1855447/000121390026031852/ea028249201ex10-1.htm" TargetMode="External"/><Relationship Id="rId8" Type="http://schemas.openxmlformats.org/officeDocument/2006/relationships/hyperlink" Target="https://www.sec.gov/Archives/edgar/data/1855447/000121390026039446/ea028455601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17537</Words>
  <Characters>96191</Characters>
  <CharactersWithSpaces>114128</CharactersWithSpaces>
  <Paragraphs>4192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