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ROESCHLEIN BILL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SELECTICA,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WEST PLUMERIA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32,626</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434,803</w:t>
            </w:r>
            <w:r>
              <w:rPr>
                <w:rFonts w:ascii="Times;serif" w:hAnsi="Times;serif"/>
                <w:color w:val="008000"/>
                <w:position w:val="7"/>
                <w:sz w:val="16"/>
                <w:sz w:val="20"/>
                <w:shd w:fill="FFFFFF" w:val="clear"/>
              </w:rPr>
              <w:t>(2)(3)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25,362 shares of Common Stock underlying RSUs granted to the reporting person on August 11, 2023 (the "August 2023 Grant Date"), 118,517 shares of Common Stock underlying RSUs granted to the reporting person on September 16, 2024 (the "September 2024 Grant Date"), and 128,244 shares of Common Stock underlying RSUs granted to the reporting person on August 1, 2025 (the "August 2025 Grant Date"), in each case, pursuant to the Issuer's 2023 Incentive Plan. One-Third (1/3) of the RSUs initially granted to the reporting person on August 11, 2023 vested and an equal number of shares of Common Stock were delivered to the reporting person on August 11, 2024 and August 11, 2025, and one-third of the RSUs subject to the grant shall vest and be deliverable to the reporting person on the third anniversary of the August 2023 Grant Date, subject to continued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6669"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928</Words>
  <Characters>4892</Characters>
  <CharactersWithSpaces>5750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