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19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91"/>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2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gridSpan w:val="2"/>
            <w:vMerge w:val="restart"/>
          </w:tcPr>
          <w:p>
            <w:pPr>
              <w:spacing w:after="0" w:line="238" w:lineRule="exact"/>
              <w:rPr>
                <w:rFonts w:ascii="Arial" w:cs="Arial" w:eastAsia="Arial" w:hAnsi="Arial"/>
                <w:sz w:val="21"/>
                <w:szCs w:val="21"/>
                <w:color w:val="0000EE"/>
                <w:w w:val="95"/>
              </w:rPr>
            </w:pPr>
            <w:hyperlink r:id="rId8">
              <w:r>
                <w:rPr>
                  <w:rFonts w:ascii="Arial" w:cs="Arial" w:eastAsia="Arial" w:hAnsi="Arial"/>
                  <w:sz w:val="21"/>
                  <w:szCs w:val="21"/>
                  <w:color w:val="0000EE"/>
                  <w:w w:val="95"/>
                </w:rPr>
                <w:t>ROESCHLEIN BILL</w:t>
              </w:r>
            </w:hyperlink>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Roth CH Acquisition IV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TYGO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Borders>
              <w:bottom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800" w:type="dxa"/>
            <w:vAlign w:val="bottom"/>
            <w:tcBorders>
              <w:bottom w:val="single" w:sz="8" w:color="0000EE"/>
            </w:tcBorders>
            <w:gridSpan w:val="2"/>
            <w:vMerge w:val="continue"/>
          </w:tcPr>
          <w:p>
            <w:pPr>
              <w:spacing w:after="0"/>
              <w:rPr>
                <w:sz w:val="4"/>
                <w:szCs w:val="4"/>
                <w:color w:val="auto"/>
              </w:rPr>
            </w:pPr>
          </w:p>
        </w:tc>
        <w:tc>
          <w:tcPr>
            <w:tcW w:w="64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800" w:type="dxa"/>
            <w:vAlign w:val="bottom"/>
            <w:gridSpan w:val="2"/>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960" w:type="dxa"/>
            <w:vAlign w:val="bottom"/>
            <w:gridSpan w:val="4"/>
          </w:tcPr>
          <w:p>
            <w:pPr>
              <w:ind w:left="620"/>
              <w:spacing w:after="0"/>
              <w:rPr>
                <w:sz w:val="20"/>
                <w:szCs w:val="20"/>
                <w:color w:val="auto"/>
              </w:rPr>
            </w:pPr>
            <w:r>
              <w:rPr>
                <w:rFonts w:ascii="Arial" w:cs="Arial" w:eastAsia="Arial" w:hAnsi="Arial"/>
                <w:sz w:val="17"/>
                <w:szCs w:val="17"/>
                <w:color w:val="0000FF"/>
              </w:rPr>
              <w:t>05/23/2023</w:t>
            </w: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0" w:type="dxa"/>
            <w:vAlign w:val="bottom"/>
            <w:gridSpan w:val="5"/>
            <w:vMerge w:val="restart"/>
          </w:tcPr>
          <w:p>
            <w:pPr>
              <w:ind w:left="20"/>
              <w:spacing w:after="0" w:line="176" w:lineRule="exact"/>
              <w:rPr>
                <w:sz w:val="20"/>
                <w:szCs w:val="20"/>
                <w:color w:val="auto"/>
              </w:rPr>
            </w:pPr>
            <w:r>
              <w:rPr>
                <w:rFonts w:ascii="Arial" w:cs="Arial" w:eastAsia="Arial" w:hAnsi="Arial"/>
                <w:sz w:val="17"/>
                <w:szCs w:val="17"/>
                <w:color w:val="0000FF"/>
              </w:rPr>
              <w:t>655 CAMPBELL TECHNOLOGY PKWY,</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0" w:type="dxa"/>
            <w:vAlign w:val="bottom"/>
            <w:gridSpan w:val="5"/>
            <w:vMerge w:val="continue"/>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-1553210</wp:posOffset>
            </wp:positionV>
            <wp:extent cx="7046595" cy="5600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600065"/>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STE 150</w:t>
      </w: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CAMPBELL</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95008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ind w:left="416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3, 4 and 5)</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2.57</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05/23/2023</w:t>
            </w:r>
          </w:p>
        </w:tc>
        <w:tc>
          <w:tcPr>
            <w:tcW w:w="1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A</w:t>
            </w:r>
          </w:p>
        </w:tc>
        <w:tc>
          <w:tcPr>
            <w:tcW w:w="320" w:type="dxa"/>
            <w:vAlign w:val="bottom"/>
          </w:tcPr>
          <w:p>
            <w:pPr>
              <w:spacing w:after="0"/>
              <w:rPr>
                <w:sz w:val="18"/>
                <w:szCs w:val="18"/>
                <w:color w:val="auto"/>
              </w:rPr>
            </w:pPr>
          </w:p>
        </w:tc>
        <w:tc>
          <w:tcPr>
            <w:tcW w:w="660" w:type="dxa"/>
            <w:vAlign w:val="bottom"/>
          </w:tcPr>
          <w:p>
            <w:pPr>
              <w:ind w:left="80"/>
              <w:spacing w:after="0" w:line="216" w:lineRule="exact"/>
              <w:rPr>
                <w:sz w:val="20"/>
                <w:szCs w:val="20"/>
                <w:color w:val="auto"/>
              </w:rPr>
            </w:pPr>
            <w:r>
              <w:rPr>
                <w:rFonts w:ascii="Arial" w:cs="Arial" w:eastAsia="Arial" w:hAnsi="Arial"/>
                <w:sz w:val="13"/>
                <w:szCs w:val="13"/>
                <w:color w:val="0000FF"/>
                <w:w w:val="98"/>
              </w:rPr>
              <w:t>93,334</w:t>
            </w:r>
            <w:r>
              <w:rPr>
                <w:rFonts w:ascii="Arial" w:cs="Arial" w:eastAsia="Arial" w:hAnsi="Arial"/>
                <w:sz w:val="21"/>
                <w:szCs w:val="21"/>
                <w:color w:val="008000"/>
                <w:w w:val="98"/>
                <w:vertAlign w:val="superscript"/>
              </w:rPr>
              <w:t>(1)</w:t>
            </w:r>
          </w:p>
        </w:tc>
        <w:tc>
          <w:tcPr>
            <w:tcW w:w="24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06/26/2032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93,334</w:t>
            </w:r>
          </w:p>
        </w:tc>
        <w:tc>
          <w:tcPr>
            <w:tcW w:w="680" w:type="dxa"/>
            <w:vAlign w:val="bottom"/>
          </w:tcPr>
          <w:p>
            <w:pPr>
              <w:ind w:left="280"/>
              <w:spacing w:after="0"/>
              <w:rPr>
                <w:sz w:val="20"/>
                <w:szCs w:val="20"/>
                <w:color w:val="auto"/>
              </w:rPr>
            </w:pPr>
            <w:r>
              <w:rPr>
                <w:rFonts w:ascii="Arial" w:cs="Arial" w:eastAsia="Arial" w:hAnsi="Arial"/>
                <w:sz w:val="11"/>
                <w:szCs w:val="11"/>
                <w:color w:val="008000"/>
              </w:rPr>
              <w:t>(1)</w:t>
            </w:r>
          </w:p>
        </w:tc>
        <w:tc>
          <w:tcPr>
            <w:tcW w:w="920" w:type="dxa"/>
            <w:vAlign w:val="bottom"/>
          </w:tcPr>
          <w:p>
            <w:pPr>
              <w:ind w:left="280"/>
              <w:spacing w:after="0"/>
              <w:rPr>
                <w:sz w:val="20"/>
                <w:szCs w:val="20"/>
                <w:color w:val="auto"/>
              </w:rPr>
            </w:pPr>
            <w:r>
              <w:rPr>
                <w:rFonts w:ascii="Arial" w:cs="Arial" w:eastAsia="Arial" w:hAnsi="Arial"/>
                <w:sz w:val="13"/>
                <w:szCs w:val="13"/>
                <w:color w:val="0000FF"/>
              </w:rPr>
              <w:t>93,334</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68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Received in connection with the business combination between the Issuer (formerly known as Roth CH Acquisition IV Co.) and Tigo Energy, Inc. ("Legacy Tigo") on May 23, 2023 (the "Merger"). Each Legacy Tigo stock option was exchanged in the Merger for a stock option to acquire 0.233335 shares of common stock of the Issuer.</w:t>
      </w:r>
    </w:p>
    <w:p>
      <w:pPr>
        <w:spacing w:after="0" w:line="25" w:lineRule="exact"/>
        <w:rPr>
          <w:rFonts w:ascii="Arial" w:cs="Arial" w:eastAsia="Arial" w:hAnsi="Arial"/>
          <w:sz w:val="13"/>
          <w:szCs w:val="13"/>
          <w:color w:val="008000"/>
        </w:rPr>
      </w:pPr>
    </w:p>
    <w:p>
      <w:pPr>
        <w:ind w:left="40" w:right="4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are immediately exercisable, subject to a right of repurchase in favor of the Issuer, which lapses as the stock option vests. 25% of the options vest on 06/27/2023, and the remaindervest monthly thereafter through June 2026.</w:t>
      </w:r>
    </w:p>
    <w:p>
      <w:pPr>
        <w:spacing w:after="0" w:line="3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90"/>
              </w:rPr>
              <w:t>/s/ Bill Roeschlein</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05/25/2023</w:t>
            </w:r>
          </w:p>
        </w:tc>
      </w:tr>
      <w:tr>
        <w:trPr>
          <w:trHeight w:val="225"/>
        </w:trPr>
        <w:tc>
          <w:tcPr>
            <w:tcW w:w="204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76669" TargetMode="External"/><Relationship Id="rId9"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2023-05-25T21:16:01Z</dcterms:created>
  <dcterms:modified xsi:type="dcterms:W3CDTF">2023-05-25T21:16:01Z</dcterms:modified>
</cp:coreProperties>
</file>