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40930.htm"/>
      <w:bookmarkStart w:id="1" w:name="kstygo2024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282" w:type="dxa"/>
        <w:jc w:val="left"/>
        <w:tblInd w:w="0" w:type="dxa"/>
        <w:tblLayout w:type="fixed"/>
        <w:tblCellMar>
          <w:top w:w="28" w:type="dxa"/>
          <w:left w:w="28" w:type="dxa"/>
          <w:bottom w:w="28" w:type="dxa"/>
          <w:right w:w="28" w:type="dxa"/>
        </w:tblCellMar>
      </w:tblPr>
      <w:tblGrid>
        <w:gridCol w:w="4036"/>
        <w:gridCol w:w="1246"/>
      </w:tblGrid>
      <w:tr>
        <w:trPr/>
        <w:tc>
          <w:tcPr>
            <w:tcW w:w="40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4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4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655 Campbell Technology Parkway, Suite 150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Campbell,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95008</w:t>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vAlign w:val="center"/>
          </w:tcPr>
          <w:p>
            <w:pPr>
              <w:pStyle w:val="TableContents"/>
              <w:bidi w:val="0"/>
              <w:spacing w:before="0" w:after="283"/>
              <w:jc w:val="left"/>
              <w:rPr/>
            </w:pPr>
            <w:r>
              <w:rPr/>
              <w:t> </w:t>
            </w:r>
          </w:p>
        </w:tc>
        <w:tc>
          <w:tcPr>
            <w:tcW w:w="33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November 1, 2024, the registrant had 60,743,162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in this Quarterly Report on Form 10-Q may include, for example,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meet future liquidity requirements, which will likely require us to raise financing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projected financial information, anticipated growth rate and market opportunities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maintain the listing of securities on Nasdaq;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develop and sell its product offerings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seasonal trends and the cyclical nature of the solar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liquidity and trading of the Company's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acquire and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the Company’s dependence on a small number of outside contract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working with leading solar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respond to fluctuations in foreign currency exchange rates and political unrest and regulatory changes in international markets into which the Company expands or otherwise operate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enhance future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monetize its inventory on-hand;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or recruit, or changes required in, its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maintain effective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the Company’s business, operations and financial performance,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comply with laws and regulations applicable to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and global and economic factors beyond the Company’s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compete in the highly competitive and evolving solar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to develop new products and innovations to meet constantly evolving customer demands;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into, successfully maintain and manage relationships with partners and distributors;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“SEC”) on March 21, 2024 (the “2023 Annual Report”) and the Company’s other filings with the SEC. It is not possible for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09"/>
        <w:gridCol w:w="9134"/>
        <w:gridCol w:w="362"/>
      </w:tblGrid>
      <w:tr>
        <w:trPr/>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9134"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134" w:type="dxa"/>
            <w:tcBorders/>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2024, and December 31, 2023</w:t>
              </w:r>
            </w:hyperlink>
            <w:hyperlink w:anchor="condensed_consolidated_balance_sheets">
              <w:r>
                <w:rPr>
                  <w:rStyle w:val="InternetLink"/>
                  <w:rFonts w:ascii="Times New Roman" w:hAnsi="Times New Roman"/>
                  <w:color w:val="0000FF"/>
                  <w:sz w:val="20"/>
                </w:rPr>
                <w:t xml:space="preserve"> </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Condensed Consolidated Statements of Operations and Comprehensive (Loss) Income for the Three and Nine Months ended September 30, 2024, and 2023</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left"/>
              <w:rPr/>
            </w:pPr>
            <w:hyperlink w:anchor="statements_of_equity">
              <w:r>
                <w:rPr>
                  <w:rStyle w:val="InternetLink"/>
                  <w:rFonts w:ascii="Times New Roman" w:hAnsi="Times New Roman"/>
                  <w:color w:val="0000FF"/>
                  <w:sz w:val="20"/>
                  <w:u w:val="single"/>
                </w:rPr>
                <w:t>Condensed Consolidated Statements of Convertible Preferred Stock and Stockholders’ Equity (Deficit) for the Three and Nine Months ended September 30, 2024, and 2023</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Condensed Consolidated Statements of Cash Flows for the Nine Months ended September 30, 2024, and 2023</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9134" w:type="dxa"/>
            <w:tcBorders/>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134" w:type="dxa"/>
            <w:tcBorders/>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134" w:type="dxa"/>
            <w:tcBorders/>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134"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1A. </w:t>
            </w:r>
          </w:p>
        </w:tc>
        <w:tc>
          <w:tcPr>
            <w:tcW w:w="9134"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134"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134" w:type="dxa"/>
            <w:tcBorders/>
            <w:vAlign w:val="center"/>
          </w:tcPr>
          <w:p>
            <w:pPr>
              <w:pStyle w:val="TableContents"/>
              <w:bidi w:val="0"/>
              <w:spacing w:before="0" w:after="283"/>
              <w:jc w:val="left"/>
              <w:rPr/>
            </w:pPr>
            <w:hyperlink w:anchor="tem_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134"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9134" w:type="dxa"/>
            <w:tcBorders/>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9134"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09" w:type="dxa"/>
            <w:tcBorders/>
            <w:vAlign w:val="center"/>
          </w:tcPr>
          <w:p>
            <w:pPr>
              <w:pStyle w:val="TableContents"/>
              <w:bidi w:val="0"/>
              <w:spacing w:before="0" w:after="283"/>
              <w:jc w:val="left"/>
              <w:rPr/>
            </w:pPr>
            <w:r>
              <w:rPr/>
              <w:t> </w:t>
            </w:r>
          </w:p>
        </w:tc>
        <w:tc>
          <w:tcPr>
            <w:tcW w:w="9134"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PART I. FINANCIAL INFORMATION</w:t>
      </w:r>
    </w:p>
    <w:p>
      <w:pPr>
        <w:pStyle w:val="TextBody"/>
        <w:bidi w:val="0"/>
        <w:jc w:val="left"/>
        <w:rPr>
          <w:rFonts w:ascii="Times New Roman" w:hAnsi="Times New Roman"/>
          <w:b/>
          <w:i/>
          <w:color w:val="000000"/>
          <w:sz w:val="16"/>
        </w:rPr>
      </w:pPr>
      <w:bookmarkStart w:id="2" w:name="item_1_financial_statements_unaudited"/>
      <w:bookmarkEnd w:id="2"/>
      <w:r>
        <w:rPr>
          <w:rFonts w:ascii="Times New Roman" w:hAnsi="Times New Roman"/>
          <w:b/>
          <w:i/>
          <w:color w:val="000000"/>
          <w:sz w:val="16"/>
        </w:rPr>
        <w:t>Item 1. Financial Statements</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TIGO ENERGY, INC.</w:t>
      </w:r>
    </w:p>
    <w:p>
      <w:pPr>
        <w:pStyle w:val="TextBody"/>
        <w:bidi w:val="0"/>
        <w:jc w:val="center"/>
        <w:rPr>
          <w:rFonts w:ascii="Times New Roman" w:hAnsi="Times New Roman"/>
          <w:b/>
          <w:color w:val="000000"/>
          <w:sz w:val="18"/>
        </w:rPr>
      </w:pPr>
      <w:bookmarkStart w:id="3" w:name="condensed_consolidated_balance_sheets"/>
      <w:bookmarkEnd w:id="3"/>
      <w:r>
        <w:rPr>
          <w:rFonts w:ascii="Times New Roman" w:hAnsi="Times New Roman"/>
          <w:b/>
          <w:color w:val="000000"/>
          <w:sz w:val="18"/>
        </w:rPr>
        <w:t>CONDENSED CONSOLIDATED BALANCE SHEETS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per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7"/>
        <w:gridCol w:w="146"/>
        <w:gridCol w:w="214"/>
        <w:gridCol w:w="821"/>
        <w:gridCol w:w="166"/>
        <w:gridCol w:w="146"/>
        <w:gridCol w:w="217"/>
        <w:gridCol w:w="765"/>
        <w:gridCol w:w="713"/>
      </w:tblGrid>
      <w:tr>
        <w:trPr/>
        <w:tc>
          <w:tcPr>
            <w:tcW w:w="7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7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2" w:type="dxa"/>
            <w:gridSpan w:val="8"/>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713" w:type="dxa"/>
            <w:tcBorders/>
            <w:shd w:fill="CFF0FC" w:val="clear"/>
            <w:vAlign w:val="center"/>
          </w:tcPr>
          <w:p>
            <w:pPr>
              <w:pStyle w:val="TableContents"/>
              <w:bidi w:val="0"/>
              <w:spacing w:before="0" w:after="283"/>
              <w:jc w:val="center"/>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ind w:left="0" w:right="0" w:firstLine="300"/>
              <w:jc w:val="righ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Marketable securities, short-term</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26,806</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18"/>
              </w:rPr>
              <w:t>Accounts receivable, net of allowances for credit losses of $2,334</w:t>
            </w:r>
            <w:r>
              <w:rPr>
                <w:rFonts w:ascii="Times New Roman" w:hAnsi="Times New Roman"/>
                <w:color w:val="000000"/>
                <w:sz w:val="20"/>
              </w:rPr>
              <w:t> </w:t>
            </w:r>
            <w:r>
              <w:rPr>
                <w:rFonts w:ascii="Times New Roman" w:hAnsi="Times New Roman"/>
                <w:color w:val="000000"/>
                <w:sz w:val="18"/>
              </w:rPr>
              <w:t>and $4,011</w:t>
            </w:r>
            <w:r>
              <w:rPr>
                <w:rFonts w:ascii="Times New Roman" w:hAnsi="Times New Roman"/>
                <w:color w:val="000000"/>
                <w:sz w:val="20"/>
              </w:rPr>
              <w:t> </w:t>
            </w:r>
            <w:r>
              <w:rPr>
                <w:rFonts w:ascii="Times New Roman" w:hAnsi="Times New Roman"/>
                <w:color w:val="000000"/>
                <w:sz w:val="18"/>
              </w:rPr>
              <w:t>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61,401</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17"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104,710</w:t>
            </w:r>
          </w:p>
        </w:tc>
        <w:tc>
          <w:tcPr>
            <w:tcW w:w="713" w:type="dxa"/>
            <w:tcBorders/>
            <w:shd w:fill="FFFFFF" w:val="clear"/>
            <w:vAlign w:val="center"/>
          </w:tcPr>
          <w:p>
            <w:pPr>
              <w:pStyle w:val="TableContents"/>
              <w:bidi w:val="0"/>
              <w:spacing w:before="0" w:after="283"/>
              <w:jc w:val="left"/>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w:t>
            </w:r>
          </w:p>
        </w:tc>
        <w:tc>
          <w:tcPr>
            <w:tcW w:w="713" w:type="dxa"/>
            <w:tcBorders/>
            <w:shd w:fill="CFF0FC" w:val="clear"/>
            <w:vAlign w:val="center"/>
          </w:tcPr>
          <w:p>
            <w:pPr>
              <w:pStyle w:val="TableContents"/>
              <w:bidi w:val="0"/>
              <w:spacing w:before="0" w:after="283"/>
              <w:jc w:val="left"/>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assets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w:t>
            </w:r>
          </w:p>
        </w:tc>
        <w:tc>
          <w:tcPr>
            <w:tcW w:w="713" w:type="dxa"/>
            <w:tcBorders/>
            <w:shd w:fill="FFFFFF" w:val="clear"/>
            <w:vAlign w:val="center"/>
          </w:tcPr>
          <w:p>
            <w:pPr>
              <w:pStyle w:val="TableContents"/>
              <w:bidi w:val="0"/>
              <w:spacing w:before="0" w:after="283"/>
              <w:jc w:val="left"/>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long-term</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w:t>
            </w:r>
          </w:p>
        </w:tc>
        <w:tc>
          <w:tcPr>
            <w:tcW w:w="713" w:type="dxa"/>
            <w:tcBorders/>
            <w:shd w:fill="CFF0FC" w:val="clear"/>
            <w:vAlign w:val="center"/>
          </w:tcPr>
          <w:p>
            <w:pPr>
              <w:pStyle w:val="TableContents"/>
              <w:bidi w:val="0"/>
              <w:spacing w:before="0" w:after="283"/>
              <w:jc w:val="left"/>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713" w:type="dxa"/>
            <w:tcBorders/>
            <w:shd w:fill="FFFFFF" w:val="clear"/>
            <w:vAlign w:val="center"/>
          </w:tcPr>
          <w:p>
            <w:pPr>
              <w:pStyle w:val="TableContents"/>
              <w:bidi w:val="0"/>
              <w:spacing w:before="0" w:after="283"/>
              <w:jc w:val="left"/>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713" w:type="dxa"/>
            <w:tcBorders/>
            <w:shd w:fill="CFF0FC" w:val="clear"/>
            <w:vAlign w:val="center"/>
          </w:tcPr>
          <w:p>
            <w:pPr>
              <w:pStyle w:val="TableContents"/>
              <w:bidi w:val="0"/>
              <w:spacing w:before="0" w:after="283"/>
              <w:jc w:val="left"/>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17"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127,777</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92"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713" w:type="dxa"/>
            <w:tcBorders/>
            <w:shd w:fill="FFFFFF" w:val="clear"/>
            <w:vAlign w:val="center"/>
          </w:tcPr>
          <w:p>
            <w:pPr>
              <w:pStyle w:val="TableContents"/>
              <w:bidi w:val="0"/>
              <w:spacing w:before="0" w:after="283"/>
              <w:jc w:val="center"/>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300"/>
              <w:jc w:val="right"/>
              <w:rPr/>
            </w:pPr>
            <w:r>
              <w:rPr/>
              <w:t> </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15,685</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8,681</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17"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26,419</w:t>
            </w:r>
          </w:p>
        </w:tc>
        <w:tc>
          <w:tcPr>
            <w:tcW w:w="713" w:type="dxa"/>
            <w:tcBorders/>
            <w:shd w:fill="CFF0FC" w:val="clear"/>
            <w:vAlign w:val="center"/>
          </w:tcPr>
          <w:p>
            <w:pPr>
              <w:pStyle w:val="TableContents"/>
              <w:bidi w:val="0"/>
              <w:spacing w:before="0" w:after="283"/>
              <w:jc w:val="left"/>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5,106</w:t>
            </w:r>
          </w:p>
        </w:tc>
        <w:tc>
          <w:tcPr>
            <w:tcW w:w="713" w:type="dxa"/>
            <w:tcBorders/>
            <w:shd w:fill="FFFFFF" w:val="clear"/>
            <w:vAlign w:val="center"/>
          </w:tcPr>
          <w:p>
            <w:pPr>
              <w:pStyle w:val="TableContents"/>
              <w:bidi w:val="0"/>
              <w:spacing w:before="0" w:after="283"/>
              <w:jc w:val="left"/>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w:t>
            </w:r>
          </w:p>
        </w:tc>
        <w:tc>
          <w:tcPr>
            <w:tcW w:w="713" w:type="dxa"/>
            <w:tcBorders/>
            <w:shd w:fill="CFF0FC" w:val="clear"/>
            <w:vAlign w:val="center"/>
          </w:tcPr>
          <w:p>
            <w:pPr>
              <w:pStyle w:val="TableContents"/>
              <w:bidi w:val="0"/>
              <w:spacing w:before="0" w:after="283"/>
              <w:jc w:val="left"/>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unamortized debt discount and issuance costs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w:t>
            </w:r>
          </w:p>
        </w:tc>
        <w:tc>
          <w:tcPr>
            <w:tcW w:w="713" w:type="dxa"/>
            <w:tcBorders/>
            <w:shd w:fill="FFFFFF" w:val="clear"/>
            <w:vAlign w:val="center"/>
          </w:tcPr>
          <w:p>
            <w:pPr>
              <w:pStyle w:val="TableContents"/>
              <w:bidi w:val="0"/>
              <w:spacing w:before="0" w:after="283"/>
              <w:jc w:val="left"/>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17"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64,953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(see Note 10)</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jc w:val="right"/>
              <w:rPr/>
            </w:pPr>
            <w:r>
              <w:rPr/>
              <w:t> </w:t>
            </w:r>
          </w:p>
        </w:tc>
      </w:tr>
      <w:tr>
        <w:trPr/>
        <w:tc>
          <w:tcPr>
            <w:tcW w:w="70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ind w:left="0" w:right="0" w:firstLine="300"/>
              <w:jc w:val="righ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authorized; 60,743,061</w:t>
            </w:r>
            <w:r>
              <w:rPr>
                <w:rFonts w:ascii="Times New Roman" w:hAnsi="Times New Roman"/>
                <w:color w:val="000000"/>
                <w:sz w:val="20"/>
              </w:rPr>
              <w:t> </w:t>
            </w:r>
            <w:r>
              <w:rPr>
                <w:rFonts w:ascii="Times New Roman" w:hAnsi="Times New Roman"/>
                <w:color w:val="000000"/>
                <w:sz w:val="18"/>
              </w:rPr>
              <w:t>and 58,751,666</w:t>
            </w:r>
            <w:r>
              <w:rPr>
                <w:rFonts w:ascii="Times New Roman" w:hAnsi="Times New Roman"/>
                <w:color w:val="000000"/>
                <w:sz w:val="20"/>
              </w:rPr>
              <w:t> </w:t>
            </w:r>
            <w:r>
              <w:rPr>
                <w:rFonts w:ascii="Times New Roman" w:hAnsi="Times New Roman"/>
                <w:color w:val="000000"/>
                <w:sz w:val="18"/>
              </w:rPr>
              <w:t>shares issued and outstanding 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138,657</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01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(75,780</w:t>
            </w:r>
          </w:p>
        </w:tc>
        <w:tc>
          <w:tcPr>
            <w:tcW w:w="71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62,824</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17"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127,777</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211"/>
        <w:gridCol w:w="1036"/>
        <w:gridCol w:w="166"/>
        <w:gridCol w:w="146"/>
        <w:gridCol w:w="211"/>
        <w:gridCol w:w="1036"/>
        <w:gridCol w:w="166"/>
        <w:gridCol w:w="146"/>
        <w:gridCol w:w="211"/>
        <w:gridCol w:w="1036"/>
        <w:gridCol w:w="166"/>
        <w:gridCol w:w="146"/>
        <w:gridCol w:w="211"/>
        <w:gridCol w:w="1036"/>
        <w:gridCol w:w="711"/>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4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711"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2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48,433</w:t>
            </w:r>
          </w:p>
        </w:tc>
        <w:tc>
          <w:tcPr>
            <w:tcW w:w="711"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300"/>
              <w:jc w:val="right"/>
              <w:rPr/>
            </w:pPr>
            <w:r>
              <w:rPr/>
              <w:t> </w:t>
            </w:r>
          </w:p>
        </w:tc>
      </w:tr>
      <w:tr>
        <w:trPr/>
        <w:tc>
          <w:tcPr>
            <w:tcW w:w="342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711" w:type="dxa"/>
            <w:tcBorders/>
            <w:shd w:fill="CFF0FC" w:val="clear"/>
            <w:vAlign w:val="center"/>
          </w:tcPr>
          <w:p>
            <w:pPr>
              <w:pStyle w:val="TableContents"/>
              <w:bidi w:val="0"/>
              <w:spacing w:before="0" w:after="283"/>
              <w:ind w:left="0" w:right="0" w:firstLine="300"/>
              <w:jc w:val="left"/>
              <w:rPr/>
            </w:pPr>
            <w:r>
              <w:rPr/>
              <w:t> </w:t>
            </w:r>
          </w:p>
        </w:tc>
      </w:tr>
      <w:tr>
        <w:trPr/>
        <w:tc>
          <w:tcPr>
            <w:tcW w:w="342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15,536</w:t>
            </w:r>
          </w:p>
        </w:tc>
        <w:tc>
          <w:tcPr>
            <w:tcW w:w="711" w:type="dxa"/>
            <w:tcBorders/>
            <w:shd w:fill="FFFFFF" w:val="clear"/>
            <w:vAlign w:val="center"/>
          </w:tcPr>
          <w:p>
            <w:pPr>
              <w:pStyle w:val="TableContents"/>
              <w:bidi w:val="0"/>
              <w:spacing w:before="0" w:after="283"/>
              <w:ind w:left="0" w:right="0" w:firstLine="300"/>
              <w:jc w:val="left"/>
              <w:rPr/>
            </w:pPr>
            <w:r>
              <w:rPr/>
              <w:t> </w:t>
            </w:r>
          </w:p>
        </w:tc>
      </w:tr>
      <w:tr>
        <w:trPr/>
        <w:tc>
          <w:tcPr>
            <w:tcW w:w="342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24"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24"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711"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300"/>
              <w:jc w:val="right"/>
              <w:rPr/>
            </w:pPr>
            <w:r>
              <w:rPr/>
              <w:t> </w:t>
            </w:r>
          </w:p>
        </w:tc>
      </w:tr>
      <w:tr>
        <w:trPr/>
        <w:tc>
          <w:tcPr>
            <w:tcW w:w="342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fair value of preferred stock warrant and contingent shares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711" w:type="dxa"/>
            <w:tcBorders/>
            <w:shd w:fill="CFF0FC" w:val="clear"/>
            <w:vAlign w:val="center"/>
          </w:tcPr>
          <w:p>
            <w:pPr>
              <w:pStyle w:val="TableContents"/>
              <w:bidi w:val="0"/>
              <w:spacing w:before="0" w:after="283"/>
              <w:ind w:left="0" w:right="0" w:firstLine="300"/>
              <w:jc w:val="left"/>
              <w:rPr/>
            </w:pPr>
            <w:r>
              <w:rPr/>
              <w:t> </w:t>
            </w:r>
          </w:p>
        </w:tc>
      </w:tr>
      <w:tr>
        <w:trPr/>
        <w:tc>
          <w:tcPr>
            <w:tcW w:w="342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7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711" w:type="dxa"/>
            <w:tcBorders/>
            <w:shd w:fill="CFF0FC" w:val="clear"/>
            <w:vAlign w:val="center"/>
          </w:tcPr>
          <w:p>
            <w:pPr>
              <w:pStyle w:val="TableContents"/>
              <w:bidi w:val="0"/>
              <w:spacing w:before="0" w:after="283"/>
              <w:ind w:left="0" w:right="0" w:firstLine="300"/>
              <w:jc w:val="left"/>
              <w:rPr/>
            </w:pPr>
            <w:r>
              <w:rPr/>
              <w:t> </w:t>
            </w:r>
          </w:p>
        </w:tc>
      </w:tr>
      <w:tr>
        <w:trPr/>
        <w:tc>
          <w:tcPr>
            <w:tcW w:w="342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711" w:type="dxa"/>
            <w:tcBorders/>
            <w:shd w:fill="FFFFFF" w:val="clear"/>
            <w:vAlign w:val="center"/>
          </w:tcPr>
          <w:p>
            <w:pPr>
              <w:pStyle w:val="TableContents"/>
              <w:bidi w:val="0"/>
              <w:spacing w:before="0" w:after="283"/>
              <w:ind w:left="0" w:right="0" w:firstLine="300"/>
              <w:jc w:val="left"/>
              <w:rPr/>
            </w:pPr>
            <w:r>
              <w:rPr/>
              <w:t> </w:t>
            </w:r>
          </w:p>
        </w:tc>
      </w:tr>
      <w:tr>
        <w:trPr/>
        <w:tc>
          <w:tcPr>
            <w:tcW w:w="342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w:t>
            </w:r>
          </w:p>
        </w:tc>
        <w:tc>
          <w:tcPr>
            <w:tcW w:w="711"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w:t>
            </w:r>
          </w:p>
        </w:tc>
        <w:tc>
          <w:tcPr>
            <w:tcW w:w="711"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dividends on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common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34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34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711"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34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58,408,441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31,070,476</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34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68,368,758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40,487,517</w:t>
            </w:r>
          </w:p>
        </w:tc>
        <w:tc>
          <w:tcPr>
            <w:tcW w:w="7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bookmarkStart w:id="5" w:name="statements_of_equity"/>
      <w:bookmarkEnd w:id="5"/>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65"/>
        <w:gridCol w:w="146"/>
        <w:gridCol w:w="146"/>
        <w:gridCol w:w="916"/>
        <w:gridCol w:w="166"/>
        <w:gridCol w:w="146"/>
        <w:gridCol w:w="249"/>
        <w:gridCol w:w="442"/>
        <w:gridCol w:w="146"/>
        <w:gridCol w:w="146"/>
        <w:gridCol w:w="196"/>
        <w:gridCol w:w="691"/>
        <w:gridCol w:w="166"/>
        <w:gridCol w:w="146"/>
        <w:gridCol w:w="217"/>
        <w:gridCol w:w="834"/>
        <w:gridCol w:w="166"/>
        <w:gridCol w:w="146"/>
        <w:gridCol w:w="569"/>
        <w:gridCol w:w="1007"/>
        <w:gridCol w:w="166"/>
        <w:gridCol w:w="146"/>
        <w:gridCol w:w="244"/>
        <w:gridCol w:w="828"/>
        <w:gridCol w:w="215"/>
      </w:tblGrid>
      <w:tr>
        <w:trPr/>
        <w:tc>
          <w:tcPr>
            <w:tcW w:w="1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 xml:space="preserve">stockholders’ </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215" w:type="dxa"/>
            <w:tcBorders/>
            <w:shd w:fill="FFFFFF" w:val="cle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 (see Note 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15" w:type="dxa"/>
            <w:tcBorders/>
            <w:shd w:fill="FFFFFF" w:val="cle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5" w:type="dxa"/>
            <w:tcBorders/>
            <w:shd w:fill="FFFFFF" w:val="cle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60,358,166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54,324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215" w:type="dxa"/>
            <w:tcBorders/>
            <w:shd w:fill="FFFFFF" w:val="cle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60,371,987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44,740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5" w:type="dxa"/>
            <w:tcBorders/>
            <w:shd w:fill="FFFFFF" w:val="cle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 (see Note 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215" w:type="dxa"/>
            <w:tcBorders/>
            <w:shd w:fill="FFFFFF" w:val="clear"/>
            <w:vAlign w:val="center"/>
          </w:tcPr>
          <w:p>
            <w:pPr>
              <w:pStyle w:val="TableContents"/>
              <w:bidi w:val="0"/>
              <w:spacing w:before="0" w:after="283"/>
              <w:jc w:val="left"/>
              <w:rPr/>
            </w:pPr>
            <w:r>
              <w:rPr/>
              <w:t> </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(97,463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5" w:type="dxa"/>
            <w:tcBorders/>
            <w:shd w:fill="CFF0FC"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60,743,061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TIGO ENERGY,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CONVERTIBLE PREFERRED STOCK AND STOCKHOLDERS’ EQUITY (DEFICIT)</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460" w:type="dxa"/>
        <w:jc w:val="left"/>
        <w:tblInd w:w="0" w:type="dxa"/>
        <w:tblLayout w:type="fixed"/>
        <w:tblCellMar>
          <w:top w:w="28" w:type="dxa"/>
          <w:left w:w="28" w:type="dxa"/>
          <w:bottom w:w="28" w:type="dxa"/>
          <w:right w:w="28" w:type="dxa"/>
        </w:tblCellMar>
      </w:tblPr>
      <w:tblGrid>
        <w:gridCol w:w="1051"/>
        <w:gridCol w:w="146"/>
        <w:gridCol w:w="146"/>
        <w:gridCol w:w="886"/>
        <w:gridCol w:w="151"/>
        <w:gridCol w:w="146"/>
        <w:gridCol w:w="181"/>
        <w:gridCol w:w="556"/>
        <w:gridCol w:w="151"/>
        <w:gridCol w:w="146"/>
        <w:gridCol w:w="146"/>
        <w:gridCol w:w="146"/>
        <w:gridCol w:w="811"/>
        <w:gridCol w:w="151"/>
        <w:gridCol w:w="146"/>
        <w:gridCol w:w="196"/>
        <w:gridCol w:w="375"/>
        <w:gridCol w:w="151"/>
        <w:gridCol w:w="146"/>
        <w:gridCol w:w="181"/>
        <w:gridCol w:w="586"/>
        <w:gridCol w:w="151"/>
        <w:gridCol w:w="146"/>
        <w:gridCol w:w="213"/>
        <w:gridCol w:w="658"/>
        <w:gridCol w:w="151"/>
        <w:gridCol w:w="146"/>
        <w:gridCol w:w="322"/>
        <w:gridCol w:w="669"/>
        <w:gridCol w:w="151"/>
        <w:gridCol w:w="146"/>
        <w:gridCol w:w="224"/>
        <w:gridCol w:w="692"/>
        <w:gridCol w:w="19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5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 (deficit)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w:t>
              <w:br/>
              <w:t xml:space="preserve">stockholders’ </w:t>
              <w:br/>
              <w:t>(deficit)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199,145,285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87,140</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23,442,353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(62,215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(55,692</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Retroactive application (Note 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(152,677,720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(17,972,432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46,467,565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87,140</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5,469,921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(62,215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(55,692</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140,545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connection with the acquisition of fSight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1,306,385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10,077</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2023,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46,467,565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6,916,851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(38,233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Forfeitures of restricted stock and restricted stock surrendered in lieu of withholding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preferred stock dividends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1,258,055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preferred stock upon exercise of preferred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193,372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2,008</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preferred stock into common stock in connection with the Business Combination (Note 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(47,918,992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(87,140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47,918,992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87,140</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common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1,491,229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price adjustment in connection with the fSight acquisition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Business Combination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1,818,519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2023,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58,144,543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30,434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common stock warrants, net of issuance costs and payments to warrant holders of non-redeemed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324,546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3,653</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Reclassification of convertible note derivative liability to equity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11,279</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96"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1,274</w:t>
            </w:r>
          </w:p>
        </w:tc>
        <w:tc>
          <w:tcPr>
            <w:tcW w:w="196"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2023, as converted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58,733,366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75,827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pPr>
      <w:r>
        <w:rPr>
          <w:rFonts w:ascii="Times New Roman" w:hAnsi="Times New Roman"/>
          <w:color w:val="000000"/>
          <w:sz w:val="14"/>
        </w:rPr>
        <w:t>The shares of the Company’s common and redeemable convertible preferred stock prior to the Business Combination (as defined in Note 1) have been retroactively restated to reflect the exchange ratio of approximately 0.233335</w:t>
      </w:r>
      <w:r>
        <w:rPr>
          <w:color w:val="000000"/>
        </w:rPr>
        <w:t xml:space="preserve"> </w:t>
      </w:r>
      <w:r>
        <w:rPr>
          <w:rFonts w:ascii="Times New Roman" w:hAnsi="Times New Roman"/>
          <w:color w:val="000000"/>
          <w:sz w:val="14"/>
        </w:rPr>
        <w:t>established in the Business Combination as described in Note 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62"/>
        <w:gridCol w:w="746"/>
        <w:gridCol w:w="211"/>
        <w:gridCol w:w="736"/>
        <w:gridCol w:w="746"/>
        <w:gridCol w:w="746"/>
        <w:gridCol w:w="211"/>
        <w:gridCol w:w="736"/>
        <w:gridCol w:w="811"/>
      </w:tblGrid>
      <w:tr>
        <w:trPr/>
        <w:tc>
          <w:tcPr>
            <w:tcW w:w="52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262"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3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w:t>
            </w:r>
          </w:p>
        </w:tc>
        <w:tc>
          <w:tcPr>
            <w:tcW w:w="811" w:type="dxa"/>
            <w:tcBorders/>
            <w:shd w:fill="FFFFFF" w:val="clear"/>
            <w:vAlign w:val="center"/>
          </w:tcPr>
          <w:p>
            <w:pPr>
              <w:pStyle w:val="TableContents"/>
              <w:bidi w:val="0"/>
              <w:spacing w:before="0" w:after="283"/>
              <w:jc w:val="left"/>
              <w:rPr/>
            </w:pPr>
            <w:r>
              <w:rPr/>
              <w:t> </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inventory</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warrant and contingent shares liability</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7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benefit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74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interest on marketable securities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7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26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ind w:left="0" w:right="0" w:firstLine="200"/>
              <w:jc w:val="righ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526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74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w:t>
            </w:r>
          </w:p>
        </w:tc>
        <w:tc>
          <w:tcPr>
            <w:tcW w:w="746" w:type="dxa"/>
            <w:tcBorders/>
            <w:shd w:fill="FFFFFF" w:val="clear"/>
            <w:vAlign w:val="center"/>
          </w:tcPr>
          <w:p>
            <w:pPr>
              <w:pStyle w:val="TableContents"/>
              <w:bidi w:val="0"/>
              <w:spacing w:before="0" w:after="283"/>
              <w:ind w:left="0" w:right="0" w:firstLine="400"/>
              <w:jc w:val="left"/>
              <w:rPr/>
            </w:pPr>
            <w:r>
              <w:rPr/>
              <w:t> </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(33,318</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746" w:type="dxa"/>
            <w:tcBorders/>
            <w:shd w:fill="CFF0FC" w:val="clear"/>
            <w:vAlign w:val="center"/>
          </w:tcPr>
          <w:p>
            <w:pPr>
              <w:pStyle w:val="TableContents"/>
              <w:bidi w:val="0"/>
              <w:spacing w:before="0" w:after="283"/>
              <w:ind w:left="0" w:right="0" w:firstLine="400"/>
              <w:jc w:val="left"/>
              <w:rPr/>
            </w:pPr>
            <w:r>
              <w:rPr/>
              <w:t> </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26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74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74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26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746" w:type="dxa"/>
            <w:tcBorders/>
            <w:shd w:fill="FFFFFF" w:val="clear"/>
            <w:vAlign w:val="center"/>
          </w:tcPr>
          <w:p>
            <w:pPr>
              <w:pStyle w:val="TableContents"/>
              <w:bidi w:val="0"/>
              <w:spacing w:before="0" w:after="283"/>
              <w:ind w:left="0" w:right="0" w:firstLine="400"/>
              <w:jc w:val="left"/>
              <w:rPr/>
            </w:pPr>
            <w:r>
              <w:rPr/>
              <w:t> </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Warranty liability</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746" w:type="dxa"/>
            <w:tcBorders/>
            <w:shd w:fill="CFF0FC" w:val="clear"/>
            <w:vAlign w:val="center"/>
          </w:tcPr>
          <w:p>
            <w:pPr>
              <w:pStyle w:val="TableContents"/>
              <w:bidi w:val="0"/>
              <w:spacing w:before="0" w:after="283"/>
              <w:ind w:left="0" w:right="0" w:firstLine="400"/>
              <w:jc w:val="left"/>
              <w:rPr/>
            </w:pPr>
            <w:r>
              <w:rPr/>
              <w:t> </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26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(13,407</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Investing activities: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marketable securities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w:t>
            </w:r>
          </w:p>
        </w:tc>
        <w:tc>
          <w:tcPr>
            <w:tcW w:w="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(53,483</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fSight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25,818</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Financing activities: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Promissory Note</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811" w:type="dxa"/>
            <w:tcBorders/>
            <w:shd w:fill="FFFFFF" w:val="clear"/>
            <w:vAlign w:val="center"/>
          </w:tcPr>
          <w:p>
            <w:pPr>
              <w:pStyle w:val="TableContents"/>
              <w:bidi w:val="0"/>
              <w:spacing w:before="0" w:after="283"/>
              <w:jc w:val="left"/>
              <w:rPr/>
            </w:pPr>
            <w:r>
              <w:rPr/>
              <w:t> </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from Series 2022-1 Notes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financing costs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Business Combination</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811" w:type="dxa"/>
            <w:tcBorders/>
            <w:shd w:fill="CFF0FC" w:val="clear"/>
            <w:vAlign w:val="center"/>
          </w:tcPr>
          <w:p>
            <w:pPr>
              <w:pStyle w:val="TableContents"/>
              <w:bidi w:val="0"/>
              <w:spacing w:before="0" w:after="283"/>
              <w:jc w:val="left"/>
              <w:rPr/>
            </w:pPr>
            <w:r>
              <w:rPr/>
              <w:t> </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811" w:type="dxa"/>
            <w:tcBorders/>
            <w:shd w:fill="FFFFFF" w:val="clear"/>
            <w:vAlign w:val="center"/>
          </w:tcPr>
          <w:p>
            <w:pPr>
              <w:pStyle w:val="TableContents"/>
              <w:bidi w:val="0"/>
              <w:spacing w:before="0" w:after="283"/>
              <w:jc w:val="left"/>
              <w:rPr/>
            </w:pPr>
            <w:r>
              <w:rPr/>
              <w:t> </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tax withholdings on equity instruments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common stock warrant redemption, net of issuance costs and payments to warrant holders of non-redeemed warrants</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(35,477</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2"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35"/>
        <w:gridCol w:w="346"/>
        <w:gridCol w:w="224"/>
        <w:gridCol w:w="607"/>
        <w:gridCol w:w="368"/>
        <w:gridCol w:w="368"/>
        <w:gridCol w:w="224"/>
        <w:gridCol w:w="719"/>
        <w:gridCol w:w="414"/>
      </w:tblGrid>
      <w:tr>
        <w:trPr/>
        <w:tc>
          <w:tcPr>
            <w:tcW w:w="69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93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 w:type="dxa"/>
            <w:tcBorders/>
            <w:shd w:fill="FFFFFF" w:val="cle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346" w:type="dxa"/>
            <w:tcBorders/>
            <w:shd w:fill="CFF0FC" w:val="clear"/>
            <w:vAlign w:val="center"/>
          </w:tcPr>
          <w:p>
            <w:pPr>
              <w:pStyle w:val="TableContents"/>
              <w:bidi w:val="0"/>
              <w:spacing w:before="0" w:after="283"/>
              <w:ind w:left="0" w:right="0" w:firstLine="200"/>
              <w:jc w:val="left"/>
              <w:rPr/>
            </w:pPr>
            <w:r>
              <w:rPr/>
              <w:t> </w:t>
            </w:r>
          </w:p>
        </w:tc>
        <w:tc>
          <w:tcPr>
            <w:tcW w:w="831" w:type="dxa"/>
            <w:gridSpan w:val="2"/>
            <w:tcBorders/>
            <w:shd w:fill="CFF0FC" w:val="clear"/>
            <w:vAlign w:val="center"/>
          </w:tcPr>
          <w:p>
            <w:pPr>
              <w:pStyle w:val="TableContents"/>
              <w:bidi w:val="0"/>
              <w:spacing w:before="0" w:after="283"/>
              <w:ind w:left="200" w:right="0" w:firstLine="200"/>
              <w:jc w:val="right"/>
              <w:rPr/>
            </w:pPr>
            <w:r>
              <w:rPr/>
              <w:t> </w:t>
            </w:r>
          </w:p>
        </w:tc>
        <w:tc>
          <w:tcPr>
            <w:tcW w:w="368" w:type="dxa"/>
            <w:tcBorders/>
            <w:shd w:fill="CFF0FC" w:val="clear"/>
            <w:vAlign w:val="center"/>
          </w:tcPr>
          <w:p>
            <w:pPr>
              <w:pStyle w:val="TableContents"/>
              <w:bidi w:val="0"/>
              <w:spacing w:before="0" w:after="283"/>
              <w:jc w:val="right"/>
              <w:rPr/>
            </w:pPr>
            <w:r>
              <w:rPr/>
              <w:t> </w:t>
            </w:r>
          </w:p>
        </w:tc>
        <w:tc>
          <w:tcPr>
            <w:tcW w:w="368"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taxes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831" w:type="dxa"/>
            <w:gridSpan w:val="2"/>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 accounts payable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consideration paid for the acquisition of fSight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shares liability from fSight acquisition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resulting from change in fair value of marketable securities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 from Roth CH Acquisition IV Co.</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derivative note liability at issuance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preferred stock dividends (Note 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issuance costs to additional paid in capital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convertible preferred stock into common stock in connection with the Business Combination (Note 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87,140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preferred stock upon exercise of preferred warrants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convertible note derivative liability to equity</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(f/k/a Roth CH Acquisition IV Co.)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Systems Trading (Suzhou)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The Company is headquartered in Campbell, California with offices in Europe, Asia and the Middle East.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Entry into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Please refer to Note 3 “Merger with Roth CH Acquisition IV Co.” for additional details regarding the Business Combination. </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Closing Date, have been retroactively recasted as shares reflecting the exchange ratio established in the Business Combination. Please refer to Note 3 “Merger with Roth CH Acquisition IV Co.” for additional details regarding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income and were not material for the three and nine months ended September 30,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September 30, 2024 and its condensed consolidated statements of operations and comprehensive (loss) income, cash flows, and convertible preferred stock and changes stockholders’ equity (deficit) for the three and nine months ended September 30, 2024, and 2023. Operating results for the three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nine months ended September 30, 2024, are not necessarily indicative of the results that may be expected for the full year ending December 31, 2024. The unaudited condensed consolidated financial statements, presented herein, do not contain all of the required disclosures under GAAP for annual consolidated financial statements. The condensed consolidated balance sheet as of December 31, 2023, has been derived from the audited consolidated balance sheet as of that date. These unaudited condensed consolidated financial statements should be read in conjunction with the audited consolidated financial statements and notes thereto included in our Annual Report on Form 10-K for the year ended December 31, 2023, which was filed with the SEC on March 21,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for the year ended December 31, 2023, which are included in the Company’s Annual Report on Form 10-K filed with the SEC on March 21,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information and various other assumptions that are believed to be reasonable under the circumstances. Examples of such estimates include, among other things, the valuation of share-based awards, the recoverability of long-lived assets, the assessment of intangible assets and goodwill for impairment, provisions for warranty and expected credit losses, inventory obsolescence, sales returns, future price concessions, valuation allowances and the estimated useful lives of plant and equipment and acquired intangible assets. Actual results may materially differ from these estimates. On an ongoing basis, the Company reviews its estimates to ensure that these estimates appropriately reflect changes in its business or new information as it becomes available.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In November 2023, the FASB issued </w:t>
      </w:r>
      <w:r>
        <w:rPr>
          <w:rFonts w:ascii="Times New Roman" w:hAnsi="Times New Roman"/>
          <w:i/>
          <w:color w:val="231F20"/>
          <w:sz w:val="20"/>
        </w:rPr>
        <w:t>ASU No. 2023-07</w:t>
      </w:r>
      <w:r>
        <w:rPr>
          <w:rFonts w:ascii="Times New Roman" w:hAnsi="Times New Roman"/>
          <w:color w:val="231F20"/>
          <w:sz w:val="20"/>
        </w:rPr>
        <w:t xml:space="preserve">, </w:t>
      </w:r>
      <w:r>
        <w:rPr>
          <w:rFonts w:ascii="Times New Roman" w:hAnsi="Times New Roman"/>
          <w:i/>
          <w:color w:val="231F20"/>
          <w:sz w:val="20"/>
        </w:rPr>
        <w:t>Improvements to Reportable Segment Disclosures</w:t>
      </w:r>
      <w:r>
        <w:rPr>
          <w:rFonts w:ascii="Times New Roman" w:hAnsi="Times New Roman"/>
          <w:color w:val="231F20"/>
          <w:sz w:val="20"/>
        </w:rPr>
        <w:t xml:space="preserve"> </w:t>
      </w:r>
      <w:r>
        <w:rPr>
          <w:rFonts w:ascii="Times New Roman" w:hAnsi="Times New Roman"/>
          <w:i/>
          <w:color w:val="231F20"/>
          <w:sz w:val="20"/>
        </w:rPr>
        <w:t>(Topic 280)</w:t>
      </w:r>
      <w:r>
        <w:rPr>
          <w:rFonts w:ascii="Times New Roman" w:hAnsi="Times New Roman"/>
          <w:color w:val="231F20"/>
          <w:sz w:val="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We are currently evaluating the provisions of this ASU and expect to adopt them for the year ending December 31, 2024.</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In December 2023, the FASB issued </w:t>
      </w:r>
      <w:r>
        <w:rPr>
          <w:rFonts w:ascii="Times New Roman" w:hAnsi="Times New Roman"/>
          <w:i/>
          <w:color w:val="231F20"/>
          <w:sz w:val="20"/>
        </w:rPr>
        <w:t>ASU No. 2023-09, Improvements to Income Tax Disclosures (Topic 740)</w:t>
      </w:r>
      <w:r>
        <w:rPr>
          <w:rFonts w:ascii="Times New Roman" w:hAnsi="Times New Roman"/>
          <w:color w:val="231F20"/>
          <w:sz w:val="20"/>
        </w:rPr>
        <w:t>.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We are currently evaluating the provisions of this ASU and expect to adopt them for the year ending December 31, 2025.</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March 2024, the SEC adopted final rules that would require registrants to provide certain climate-related information in their registration statements and annual reports. The new rules require information about a registrant's climate-related risks that are reasonably likely to have a material impact on its business, results of operations, or financial condition. The rules also require disclosure of certain climate-related financial metrics in registrant’s audited financial statements, and, for certain registrants, disclosure regarding such registrant’s greenhouse gas emissions. In April 2024, the SEC voluntarily stayed the rules pending completion of a judicial review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is currently pending in the U.S. Court of Appeals for the Eighth Circuit. The Company is currently evaluating the impact of these rules on the Company’s financial statements and related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Merger with Roth CH Acquisition IV Co.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 (the “Exchange Ratio”) to affect the reverse recapitalization.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reverse recapitalization, Legacy Tigo acquired $2.2 million of cash, $0.6 million of prepaid expenses and insurance and assumed $3,400 of accrued expenses and $61,000 of income tax payable. The Company incurred $6.1 million in transaction costs relating to the Business Combination, which were charged directly to additional paid-in capital to the extent of cash received. Transaction costs in excess of cash acquired of $3.9 million were charged to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prior to the closing of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 basis and additional shares of Legacy Tigo common stock were issued to settle the accumulated dividend to the Series E and Series D convertible preferred stockholders of $12.6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warrants net of exercise were converted into an equivalent number of shares of Legacy Tigo common stock on a one-to-one basis;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preferred warrants net of exercise were converted into an equivalent number of shares of Legacy Tigo preferred stock on a one-to-one basis, and subsequently converted into an equivalent number of shares of Legacy Tigo common stock on a one-to-one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effective time of the Business Combination, each share of Legacy Tigo common stock issued and outstanding immediately prior to the closing (including the shares of Legacy Tigo common stock issued in connection with the foregoing) were canceled and converted into the right to receive a pro rata portion of the merger consideration based on the Exchange Ratio.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Business Combination, the Company issued 1,700,498 shares of Common Stock to former stockholders of ROCG and 118,021 shares of Common Stock to Roth Capital Partners, LLC.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following the Business Combination, there were 58,144,543 shares of Common Stock issued and outstanding, options to purchase an aggregate of 4,358,301 shares of Common Stock and 5,768,750 warrants outstanding to purchase shares of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Acquisition of Foresight Energy, Ltd.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25, 2023 (“Acquisition Closing Date”), Legacy Tigo acquired 100% of the equity interests of fSight. The results of fSight’s operations have been included in the condensed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 The Company changed the name of fSight to Tigo Energy AI Ltd. in September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purchase agreement, total consideration amounted to $13.2 million which consisted of 5,598,751 shares of Legacy Tigo’s common stock (which represents 1,306,385 shares of Common Stock on an as-converted basis as a result of the Business Combination) issued at closing with a fair value of approximately $11.0 million, 737,233 shares of Legacy Tigo’s common stock (which represents 172,022 shares of Common Stock on an as-converted basis as a result of the Business Combination) with a fair value of approximately $1.4 million to be issued 12 months from closing and 368,617 shares of Legacy Tigo’s common stock (which represents 86,011 shares of Common Stock on an as-converted basis as a result of the Business Combination) with a fair value of approximately $0.7 million to be issued 18 months from closing (collectively with the shares to be issued at 12 months “Contingent Shares”). In addition to the consideration in the purchase agreement, there is an additional $0.5 million in consideration related to a loan that the Company issued to fSight prior to the Acquisition Closing Date, for a total consideration transferred of $13.7 million. The loan payable was deemed settled immediately following the Acquisition Closing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terms of the purchase agreement, the Contingent Shares are subject to adjustment based on certain indemnification obligations, liabilities or settlements that may arise during the contingency period, which ends 18 months following the Acquisition Closing Date. During the year ended December 31, 2023, there was an adjustment recorded against the Contingent Shares related to an unrecorded liability that was not present as of the opening balance sheet date of January 25, 2023, and the number of Contingent Shares was adjusted downward by 5,745 shares to reflect this change. As of December 31, 2023, there was a total of up to 252,288 Contingent Shares that may be issued pursuant to the terms of the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Contingent Shares were recorded as a liability at a fair value of approximately $2.1 million on the Acquisition Closing Date based on the fair value of Legacy Tigo’s common stock at the Acquisition Closing Date. The contingent shares liability is recorded in accrued expenses and other current liabilities within the condensed consolidated balance sheet.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25, 2024, consistent with the terms of the purchase agreement, the Company issued the 12-month tranche of Contingent Shares, 166,271 shares of its Common Stock, to certain former equity holders of fSight. At January 25, 2024, the liability was revalued to $0.4 million based upon the Company’s Common Stock fair value per share at that date. A mark-to-market gain of $0.2 million was recorded upon the remeasurement at January 25, 2024. Additionally, on July 25, 2024, consistent with the terms of the purchase agreement, the Company issued the 18-month tranche of Contingent Shares, 86,017 shares of its Common Stock, to certain former equity holders of fSight. At July 25, 2024, the liability was revalued to $0.1 million, and the Company recognized a mark-to-market expense of $3,000 related to the remeasurement upon issuance of the final tranche of Contingent Shares. As of September 30, 2024, there are no Contingent Shares outstanding.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September 30, 2024, and 2023, the Company recognized a $3,000 mark-to-market expense and $3.0 million mark-to-market gain, respectively. For the nine months ended September 30, 2024, and 2023, the Company recognized a $0.2 million and $0.4 million mark-to-market expense, respectively. Mark-to-market expense and gains are recorded in the change in fair value of preferred stock warrant and contingent share liability financial statement line item within the condensed consolidated statement of operations and comprehensive loss for the three and nine months ended September 30, 2024, and 2023.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transaction was accounted for as a business combination pursuant to </w:t>
      </w:r>
      <w:r>
        <w:rPr>
          <w:rFonts w:ascii="Times New Roman" w:hAnsi="Times New Roman"/>
          <w:i/>
          <w:color w:val="000000"/>
          <w:sz w:val="20"/>
        </w:rPr>
        <w:t>ASC Topic 805</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xml:space="preserve">, using the acquisition method of accounting and in conjunction with the acquisition, Legacy Tigo recognized $47,000 and $0.2 million of acquisition-related costs during the three and nine months ended September 30, 2023. The Company did not incur any expense associated with acquisition-related costs during the three and nine months ended September 30, 2024. The acquisition-related costs, which were expensed as incurred, are recorded in general and administrative expenses on the condensed consolidated statement of operations and comprehensive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assets acquired and liabilities assumed were recorded at fair value as follows (in thousands):</w:t>
      </w:r>
    </w:p>
    <w:tbl>
      <w:tblPr>
        <w:tblW w:w="4795" w:type="dxa"/>
        <w:jc w:val="left"/>
        <w:tblInd w:w="0" w:type="dxa"/>
        <w:tblLayout w:type="fixed"/>
        <w:tblCellMar>
          <w:top w:w="28" w:type="dxa"/>
          <w:left w:w="28" w:type="dxa"/>
          <w:bottom w:w="28" w:type="dxa"/>
          <w:right w:w="28" w:type="dxa"/>
        </w:tblCellMar>
      </w:tblPr>
      <w:tblGrid>
        <w:gridCol w:w="3171"/>
        <w:gridCol w:w="146"/>
        <w:gridCol w:w="211"/>
        <w:gridCol w:w="676"/>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 transferred: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common stock issued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contingent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Deemed settlement of loan payable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14,380</w:t>
            </w:r>
          </w:p>
        </w:tc>
        <w:tc>
          <w:tcPr>
            <w:tcW w:w="591" w:type="dxa"/>
            <w:tcBorders/>
            <w:shd w:fill="FFFFFF" w:val="clear"/>
            <w:vAlign w:val="center"/>
          </w:tcPr>
          <w:p>
            <w:pPr>
              <w:pStyle w:val="TableContents"/>
              <w:bidi w:val="0"/>
              <w:spacing w:before="0" w:after="283"/>
              <w:jc w:val="lef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Supplemental Pro Forma Information (Unaudited)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supplemental pro-forma information for the three and nine months ended September 30, 2023, as if the merger with fSight had occurred on January 1, 2022. These amounts have been calculated after applying the Company’s accounting policies and are based upon currently available information. </w:t>
      </w:r>
    </w:p>
    <w:p>
      <w:pPr>
        <w:pStyle w:val="TextBody"/>
        <w:bidi w:val="0"/>
        <w:jc w:val="both"/>
        <w:rPr/>
      </w:pPr>
      <w:r>
        <w:rPr/>
        <w:t> </w:t>
      </w:r>
    </w:p>
    <w:tbl>
      <w:tblPr>
        <w:tblW w:w="8215" w:type="dxa"/>
        <w:jc w:val="left"/>
        <w:tblInd w:w="0" w:type="dxa"/>
        <w:tblLayout w:type="fixed"/>
        <w:tblCellMar>
          <w:top w:w="28" w:type="dxa"/>
          <w:left w:w="28" w:type="dxa"/>
          <w:bottom w:w="28" w:type="dxa"/>
          <w:right w:w="28" w:type="dxa"/>
        </w:tblCellMar>
      </w:tblPr>
      <w:tblGrid>
        <w:gridCol w:w="1296"/>
        <w:gridCol w:w="146"/>
        <w:gridCol w:w="735"/>
        <w:gridCol w:w="2355"/>
        <w:gridCol w:w="146"/>
        <w:gridCol w:w="146"/>
        <w:gridCol w:w="638"/>
        <w:gridCol w:w="2362"/>
        <w:gridCol w:w="39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Supplemental Information of Operating Results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The following table presents supplemental pro-forma information on the net revenue and net loss attributable to fSight included within the Company’s condensed consolidated statement of operations and comprehensive loss. </w:t>
      </w:r>
    </w:p>
    <w:tbl>
      <w:tblPr>
        <w:tblW w:w="8235" w:type="dxa"/>
        <w:jc w:val="left"/>
        <w:tblInd w:w="0" w:type="dxa"/>
        <w:tblLayout w:type="fixed"/>
        <w:tblCellMar>
          <w:top w:w="28" w:type="dxa"/>
          <w:left w:w="28" w:type="dxa"/>
          <w:bottom w:w="28" w:type="dxa"/>
          <w:right w:w="28" w:type="dxa"/>
        </w:tblCellMar>
      </w:tblPr>
      <w:tblGrid>
        <w:gridCol w:w="1296"/>
        <w:gridCol w:w="146"/>
        <w:gridCol w:w="940"/>
        <w:gridCol w:w="2150"/>
        <w:gridCol w:w="166"/>
        <w:gridCol w:w="146"/>
        <w:gridCol w:w="913"/>
        <w:gridCol w:w="2087"/>
        <w:gridCol w:w="39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Net (Loss) Earnings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earnings per share of common stock is computed by dividing net (loss) income attributable to common stockholders by the weighted-average number of shares of common stock outstanding during each period, without consideration for potential dilutive shares of common stock. Diluted net (loss) earnings per share of common stock is computed by dividing the net (loss) earnings attributable to common stockholders by the weighted-average number of common share equivalents outstanding for the period determined using the treasury-stock method and if-converted method, as applicable. Basic and diluted net (loss) earnings per share attributable to common stockholders is presented in conformity with the two-class method required for participating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two-class method, net (loss) income for the three and nine months ended September 30, 2023, is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are then divided by the number of outstanding shares to which the earnings are allocated to determine the earnings per share. The two-class method is not applicable during periods with a net loss, as the holders of the convertible preferred stock have no obligation to fund losses. In periods in which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reports a net loss, diluted net loss per share is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to common stockholders: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(loss) earnings per common share calculation:</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earnings to preferred stock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shd w:fill="FFFFFF" w:val="cle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58,408,441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31,070,476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earnings per share of common stock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vAlign w:val="center"/>
          </w:tcPr>
          <w:p>
            <w:pPr>
              <w:pStyle w:val="TableContents"/>
              <w:bidi w:val="0"/>
              <w:spacing w:before="0" w:after="283"/>
              <w:jc w:val="left"/>
              <w:rPr>
                <w:sz w:val="4"/>
                <w:szCs w:val="4"/>
              </w:rPr>
            </w:pPr>
            <w:r>
              <w:rPr>
                <w:sz w:val="4"/>
                <w:szCs w:val="4"/>
              </w:rPr>
            </w:r>
          </w:p>
        </w:tc>
        <w:tc>
          <w:tcPr>
            <w:tcW w:w="391" w:type="dxa"/>
            <w:tcBorders/>
            <w:shd w:fill="CFF0FC" w:val="clear"/>
            <w:vAlign w:val="center"/>
          </w:tcPr>
          <w:p>
            <w:pPr>
              <w:pStyle w:val="TableContents"/>
              <w:bidi w:val="0"/>
              <w:spacing w:before="0" w:after="283"/>
              <w:jc w:val="righ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(loss) earnings per common share calculation: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Reverse: interest expense and change in fair value on derivative liability</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diluted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earnings to preferred stock stockholders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58,408,441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31,070,476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Outstanding options and restricted stock units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3,472,940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Legacy Tigo warrants and common stock warrants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813,569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5,130,532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 diluted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68,368,758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40,487,517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earnings per share of common stock – diluted</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excluded the effect of the below elements from our calculation of diluted loss per share, as their inclusion would have been anti-dilutive. These amounts represent the number of instruments outstanding at the end of the period. </w:t>
      </w:r>
    </w:p>
    <w:p>
      <w:pPr>
        <w:pStyle w:val="TextBody"/>
        <w:bidi w:val="0"/>
        <w:jc w:val="left"/>
        <w:rPr/>
      </w:pPr>
      <w:r>
        <w:rPr/>
        <w:t> </w:t>
      </w:r>
    </w:p>
    <w:tbl>
      <w:tblPr>
        <w:tblW w:w="6739" w:type="dxa"/>
        <w:jc w:val="left"/>
        <w:tblInd w:w="0" w:type="dxa"/>
        <w:tblLayout w:type="fixed"/>
        <w:tblCellMar>
          <w:top w:w="28" w:type="dxa"/>
          <w:left w:w="28" w:type="dxa"/>
          <w:bottom w:w="28" w:type="dxa"/>
          <w:right w:w="28" w:type="dxa"/>
        </w:tblCellMar>
      </w:tblPr>
      <w:tblGrid>
        <w:gridCol w:w="4336"/>
        <w:gridCol w:w="146"/>
        <w:gridCol w:w="146"/>
        <w:gridCol w:w="1036"/>
        <w:gridCol w:w="146"/>
        <w:gridCol w:w="146"/>
        <w:gridCol w:w="146"/>
        <w:gridCol w:w="346"/>
        <w:gridCol w:w="2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its financial assets and liabilities at fair value on a recurring basis using a hierarchy that prioritizes the inputs to valuation techniques used to measure fair value. Authoritative guidance establishes three levels of the fair value hierarchy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Quoted market prices in active markets for identical assets or liabilities;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Quoted prices for similar instruments in active markets; quoted prices for identical or similar instruments in markets that are not active; and model-derived valuations in which significant inputs and significant value drivers are observable in active markets; and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Fair value measurements derived from valuation techniques in which one or more significant inputs or significant value drivers are unobservable.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4416"/>
        <w:gridCol w:w="146"/>
        <w:gridCol w:w="236"/>
        <w:gridCol w:w="640"/>
        <w:gridCol w:w="163"/>
        <w:gridCol w:w="163"/>
        <w:gridCol w:w="236"/>
        <w:gridCol w:w="758"/>
        <w:gridCol w:w="163"/>
        <w:gridCol w:w="163"/>
        <w:gridCol w:w="284"/>
        <w:gridCol w:w="466"/>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shares liability from fSight acquisition</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nine months ended September 30, 2024, there were no transfers between Level 1, Level 2 and Level 3.</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is a summary of the changes in fair value of the Company’s marketable securities as of September 30, 2024, and December 31, 2023, respectively:</w:t>
      </w:r>
    </w:p>
    <w:tbl>
      <w:tblPr>
        <w:tblW w:w="9722" w:type="dxa"/>
        <w:jc w:val="left"/>
        <w:tblInd w:w="0" w:type="dxa"/>
        <w:tblLayout w:type="fixed"/>
        <w:tblCellMar>
          <w:top w:w="28" w:type="dxa"/>
          <w:left w:w="28" w:type="dxa"/>
          <w:bottom w:w="28" w:type="dxa"/>
          <w:right w:w="28" w:type="dxa"/>
        </w:tblCellMar>
      </w:tblPr>
      <w:tblGrid>
        <w:gridCol w:w="3571"/>
        <w:gridCol w:w="146"/>
        <w:gridCol w:w="285"/>
        <w:gridCol w:w="915"/>
        <w:gridCol w:w="146"/>
        <w:gridCol w:w="146"/>
        <w:gridCol w:w="623"/>
        <w:gridCol w:w="623"/>
        <w:gridCol w:w="146"/>
        <w:gridCol w:w="146"/>
        <w:gridCol w:w="448"/>
        <w:gridCol w:w="737"/>
        <w:gridCol w:w="166"/>
        <w:gridCol w:w="146"/>
        <w:gridCol w:w="211"/>
        <w:gridCol w:w="676"/>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87"/>
        <w:gridCol w:w="146"/>
        <w:gridCol w:w="282"/>
        <w:gridCol w:w="906"/>
        <w:gridCol w:w="146"/>
        <w:gridCol w:w="146"/>
        <w:gridCol w:w="616"/>
        <w:gridCol w:w="616"/>
        <w:gridCol w:w="146"/>
        <w:gridCol w:w="146"/>
        <w:gridCol w:w="421"/>
        <w:gridCol w:w="753"/>
        <w:gridCol w:w="166"/>
        <w:gridCol w:w="146"/>
        <w:gridCol w:w="211"/>
        <w:gridCol w:w="676"/>
        <w:gridCol w:w="595"/>
      </w:tblGrid>
      <w:tr>
        <w:trPr/>
        <w:tc>
          <w:tcPr>
            <w:tcW w:w="4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4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40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40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40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7"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08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2024, all available-for-sale marketable securities consisted of investments that mature within one year. </w:t>
      </w:r>
    </w:p>
    <w:p>
      <w:pPr>
        <w:pStyle w:val="TextBody"/>
        <w:bidi w:val="0"/>
        <w:spacing w:before="36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cash and cash equivalents, marketable securities, accounts receivable, accounts payable, and customer deposits approximate fair value due to their short-term nature. As of September 30, 2024, the fair value and carrying value of the Company’s Convertible Promissory Note (Note 9) was $40.4 million and $38.3 million, respectively. As of December 31, 2023, the fair value and carrying value of the Company’s Series 2022-1 Notes was $58.1 million and $31.6 million, respectively. The estimated fair value for the Company’s Convertible Promissory Note was based on discounted expected future cash flows using prevailing interest rates which are Level 3 inputs under the fair value hierarchy.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w:t>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1546"/>
        <w:gridCol w:w="146"/>
        <w:gridCol w:w="274"/>
        <w:gridCol w:w="878"/>
        <w:gridCol w:w="189"/>
        <w:gridCol w:w="189"/>
        <w:gridCol w:w="274"/>
        <w:gridCol w:w="878"/>
        <w:gridCol w:w="146"/>
        <w:gridCol w:w="146"/>
        <w:gridCol w:w="252"/>
        <w:gridCol w:w="808"/>
        <w:gridCol w:w="174"/>
        <w:gridCol w:w="174"/>
        <w:gridCol w:w="252"/>
        <w:gridCol w:w="933"/>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21,426</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105,595</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21,776</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deferred revenue:</w:t>
      </w:r>
    </w:p>
    <w:p>
      <w:pPr>
        <w:pStyle w:val="TextBody"/>
        <w:bidi w:val="0"/>
        <w:jc w:val="both"/>
        <w:rPr/>
      </w:pPr>
      <w:r>
        <w:rPr/>
        <w:t> </w:t>
      </w:r>
    </w:p>
    <w:tbl>
      <w:tblPr>
        <w:tblW w:w="9186" w:type="dxa"/>
        <w:jc w:val="left"/>
        <w:tblInd w:w="0" w:type="dxa"/>
        <w:tblLayout w:type="fixed"/>
        <w:tblCellMar>
          <w:top w:w="28" w:type="dxa"/>
          <w:left w:w="28" w:type="dxa"/>
          <w:bottom w:w="28" w:type="dxa"/>
          <w:right w:w="28" w:type="dxa"/>
        </w:tblCellMar>
      </w:tblPr>
      <w:tblGrid>
        <w:gridCol w:w="3241"/>
        <w:gridCol w:w="146"/>
        <w:gridCol w:w="283"/>
        <w:gridCol w:w="849"/>
        <w:gridCol w:w="223"/>
        <w:gridCol w:w="196"/>
        <w:gridCol w:w="283"/>
        <w:gridCol w:w="849"/>
        <w:gridCol w:w="166"/>
        <w:gridCol w:w="146"/>
        <w:gridCol w:w="260"/>
        <w:gridCol w:w="779"/>
        <w:gridCol w:w="205"/>
        <w:gridCol w:w="180"/>
        <w:gridCol w:w="260"/>
        <w:gridCol w:w="909"/>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223"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05"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27,842</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2024, the Company expects to recognize $1.2 million from remaining performance obligations over a weighted average term of 3.9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recognized approximately $0.1 million and $0.6 million in revenue that was included in the beginning contract liabilities balance during the three and nine months ended September 30, 2024, respectively. The Company did not recognize any revenue that was included in the beginning contract liabilities balance during the three months ended September 30, 2023. The Company recognized $0.9 million in revenue that was included in the beginning contract liabilities balance during the nine months ended September 30,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Warranty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p>
      <w:pPr>
        <w:pStyle w:val="TextBody"/>
        <w:bidi w:val="0"/>
        <w:jc w:val="both"/>
        <w:rPr/>
      </w:pPr>
      <w:r>
        <w:rPr/>
        <w:t> </w:t>
      </w:r>
    </w:p>
    <w:tbl>
      <w:tblPr>
        <w:tblW w:w="9777" w:type="dxa"/>
        <w:jc w:val="left"/>
        <w:tblInd w:w="0" w:type="dxa"/>
        <w:tblLayout w:type="fixed"/>
        <w:tblCellMar>
          <w:top w:w="28" w:type="dxa"/>
          <w:left w:w="28" w:type="dxa"/>
          <w:bottom w:w="28" w:type="dxa"/>
          <w:right w:w="28" w:type="dxa"/>
        </w:tblCellMar>
      </w:tblPr>
      <w:tblGrid>
        <w:gridCol w:w="3731"/>
        <w:gridCol w:w="146"/>
        <w:gridCol w:w="302"/>
        <w:gridCol w:w="817"/>
        <w:gridCol w:w="237"/>
        <w:gridCol w:w="209"/>
        <w:gridCol w:w="302"/>
        <w:gridCol w:w="817"/>
        <w:gridCol w:w="166"/>
        <w:gridCol w:w="146"/>
        <w:gridCol w:w="291"/>
        <w:gridCol w:w="790"/>
        <w:gridCol w:w="229"/>
        <w:gridCol w:w="202"/>
        <w:gridCol w:w="291"/>
        <w:gridCol w:w="790"/>
        <w:gridCol w:w="31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liability, beginning of the period</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7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liability, end of the period</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530" w:type="dxa"/>
        <w:jc w:val="left"/>
        <w:tblInd w:w="0" w:type="dxa"/>
        <w:tblLayout w:type="fixed"/>
        <w:tblCellMar>
          <w:top w:w="28" w:type="dxa"/>
          <w:left w:w="28" w:type="dxa"/>
          <w:bottom w:w="28" w:type="dxa"/>
          <w:right w:w="28" w:type="dxa"/>
        </w:tblCellMar>
      </w:tblPr>
      <w:tblGrid>
        <w:gridCol w:w="1466"/>
        <w:gridCol w:w="146"/>
        <w:gridCol w:w="271"/>
        <w:gridCol w:w="869"/>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4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inventory reserve was $4.9 million and $1.0 million as of September 30, 2024, and December 31, 2023, respectively. The Company recorded charges to cost of goods sold of $3.4 million and $4.0 million for the three and nine months ended September 30, 2024, respectively, and $1.8 million for the three and nine months ended September 30, 2023, to write down the carrying value of finished goods inventories to their estimated net realizable value.</w:t>
      </w:r>
    </w:p>
    <w:tbl>
      <w:tblPr>
        <w:tblW w:w="7692" w:type="dxa"/>
        <w:jc w:val="left"/>
        <w:tblInd w:w="0" w:type="dxa"/>
        <w:tblLayout w:type="fixed"/>
        <w:tblCellMar>
          <w:top w:w="28" w:type="dxa"/>
          <w:left w:w="28" w:type="dxa"/>
          <w:bottom w:w="28" w:type="dxa"/>
          <w:right w:w="28" w:type="dxa"/>
        </w:tblCellMar>
      </w:tblPr>
      <w:tblGrid>
        <w:gridCol w:w="2831"/>
        <w:gridCol w:w="146"/>
        <w:gridCol w:w="1651"/>
        <w:gridCol w:w="146"/>
        <w:gridCol w:w="307"/>
        <w:gridCol w:w="833"/>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September 30, 2024, and 2023 the Company recorded depreciation expense of $0.2 million in the condensed consolidated statements of operations and comprehensive loss. For the nine months ended September 30, 2024, and 2023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Company recorded depreciation expense of $0.7 million and $0.6 million, respectively, in the condensed consolidated statements of operations and comprehensive loss.</w:t>
      </w:r>
    </w:p>
    <w:p>
      <w:pPr>
        <w:pStyle w:val="TextBody"/>
        <w:bidi w:val="0"/>
        <w:jc w:val="both"/>
        <w:rPr/>
      </w:pPr>
      <w:r>
        <w:rPr/>
        <w:t> </w:t>
      </w:r>
    </w:p>
    <w:tbl>
      <w:tblPr>
        <w:tblW w:w="7090" w:type="dxa"/>
        <w:jc w:val="left"/>
        <w:tblInd w:w="0" w:type="dxa"/>
        <w:tblLayout w:type="fixed"/>
        <w:tblCellMar>
          <w:top w:w="28" w:type="dxa"/>
          <w:left w:w="28" w:type="dxa"/>
          <w:bottom w:w="28" w:type="dxa"/>
          <w:right w:w="28" w:type="dxa"/>
        </w:tblCellMar>
      </w:tblPr>
      <w:tblGrid>
        <w:gridCol w:w="4026"/>
        <w:gridCol w:w="146"/>
        <w:gridCol w:w="307"/>
        <w:gridCol w:w="833"/>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current liabilities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Accrued other as of September 30, 2024, and December 31, 2023, primarily consist of accrued expenses related to legal expense, insurance expense and sales discounts.</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Other current liabilities as of December 31, 2023, primarily consist of the contingent shares’ liability related to the acquisition of fSight in Q1 2023. See Note 4 for additional information.</w:t>
      </w:r>
    </w:p>
    <w:tbl>
      <w:tblPr>
        <w:tblW w:w="6885" w:type="dxa"/>
        <w:jc w:val="left"/>
        <w:tblInd w:w="0" w:type="dxa"/>
        <w:tblLayout w:type="fixed"/>
        <w:tblCellMar>
          <w:top w:w="28" w:type="dxa"/>
          <w:left w:w="28" w:type="dxa"/>
          <w:bottom w:w="28" w:type="dxa"/>
          <w:right w:w="28" w:type="dxa"/>
        </w:tblCellMar>
      </w:tblPr>
      <w:tblGrid>
        <w:gridCol w:w="3901"/>
        <w:gridCol w:w="146"/>
        <w:gridCol w:w="285"/>
        <w:gridCol w:w="855"/>
        <w:gridCol w:w="166"/>
        <w:gridCol w:w="146"/>
        <w:gridCol w:w="294"/>
        <w:gridCol w:w="801"/>
        <w:gridCol w:w="2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charges to (recovery) or expense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Long-term debt consisted of the following (in thousands):</w:t>
      </w:r>
    </w:p>
    <w:p>
      <w:pPr>
        <w:pStyle w:val="TextBody"/>
        <w:bidi w:val="0"/>
        <w:jc w:val="both"/>
        <w:rPr/>
      </w:pPr>
      <w:r>
        <w:rPr/>
        <w:t> </w:t>
      </w:r>
    </w:p>
    <w:tbl>
      <w:tblPr>
        <w:tblW w:w="9190" w:type="dxa"/>
        <w:jc w:val="left"/>
        <w:tblInd w:w="0" w:type="dxa"/>
        <w:tblLayout w:type="fixed"/>
        <w:tblCellMar>
          <w:top w:w="28" w:type="dxa"/>
          <w:left w:w="28" w:type="dxa"/>
          <w:bottom w:w="28" w:type="dxa"/>
          <w:right w:w="28" w:type="dxa"/>
        </w:tblCellMar>
      </w:tblPr>
      <w:tblGrid>
        <w:gridCol w:w="5986"/>
        <w:gridCol w:w="146"/>
        <w:gridCol w:w="254"/>
        <w:gridCol w:w="886"/>
        <w:gridCol w:w="166"/>
        <w:gridCol w:w="146"/>
        <w:gridCol w:w="244"/>
        <w:gridCol w:w="851"/>
        <w:gridCol w:w="51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511" w:type="dxa"/>
            <w:tcBorders/>
            <w:shd w:fill="CFF0FC" w:val="clear"/>
            <w:vAlign w:val="center"/>
          </w:tcPr>
          <w:p>
            <w:pPr>
              <w:pStyle w:val="TableContents"/>
              <w:bidi w:val="0"/>
              <w:spacing w:before="0" w:after="283"/>
              <w:jc w:val="left"/>
              <w:rPr/>
            </w:pPr>
            <w:r>
              <w:rPr/>
              <w:t> </w:t>
            </w:r>
          </w:p>
        </w:tc>
      </w:tr>
      <w:tr>
        <w:trPr/>
        <w:tc>
          <w:tcPr>
            <w:tcW w:w="5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Long-term debt, net of unamortized debt discount and issuance costs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September 30, 2024, and 2023, the Company recorded amortization of $2.2 million and $2.2 million, respectively, to interest expense pertaining to debt discount and issuance costs. During the nine months ended September 30, 2024, and 2023, the Company recorded amortization of $6.7 million and $3.2 million, respectively, to interest expense pertaining to debt discount and issuance costs. The amortization associated with the Convertible Promissory Note primarily consists of the debt discount that was recorded as a result of the bifurcation of the conversion option at the time of the Business Combination. See below in this note for further information on the conversion option bifurcation for the Convertible Promissory Note, as defined below.</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the Company entered into the Note Purchase Agreement (“Note Purchase Agreement”) with L1 Energy Capital Management S.a.r.l. (“L1 Energy”) pursuant to which the Company issued the Convertible Promissory Note in the aggregate principal amount of $50.0 million (the “Convertible Promissory Note”). Outstanding borrowings under the Convertible Promissory Note bears interest at a rate of 5.0% per year. The principal amount of the Convertible Promissory Note is due at the maturity date of January 9, 2026, and interest is payable semiannually. As of September 30, 2024, there was $0.6 million of accrued interest in the condensed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Business Combination, the conversion options were bifurcated and accounted for as derivatives. Upon recognition, the Company recorded the conversion options at fair value and associated debt discount of $23.5 million. On September 24, 2023, the Company and L1 Energy entered into the Convertible Note Amendment which modified the conversion terms of the Convertible Promissory Notes. As of September 24, 2023, the fair value of the conversion options was remeasured to $11.3 million. The resulting change in fair value was recorded in the Company’s condensed consolidated statement of operation and comprehensive (loss) income. Subsequently, the convertible note derivative liability was reclassified to an equity classified derivative and was recorded into additional paid-in capital on the Company’s condensed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aggregate principal maturities of long-term debt are as follows as of September 30, 2024 (in thousands):</w:t>
      </w:r>
    </w:p>
    <w:p>
      <w:pPr>
        <w:pStyle w:val="TextBody"/>
        <w:bidi w:val="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Series 2022-1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concurrently with the Convertible Promissory Note transaction, the Company repaid the Series 2022-1 Notes issued in January 2022 with a principal amount of $25.0 million at a fixed interest rate of 5.5% per year (“Series 2022-1 Notes”) in full with the proceeds from the Convertible Promissory Note and wrote off $0.2 million of unamortized debt issuance costs related to the previously outstanding Series 2022-1 Notes, which are included in loss on debt extinguishment on the condensed consolidated statements of operations and comprehensive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36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September 30,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 Preferred Stock and Convertible Preferred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Common and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September 30, 2024, there was no Preferred Stock outstanding.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8523" w:type="dxa"/>
        <w:jc w:val="left"/>
        <w:tblInd w:w="0" w:type="dxa"/>
        <w:tblLayout w:type="fixed"/>
        <w:tblCellMar>
          <w:top w:w="28" w:type="dxa"/>
          <w:left w:w="28" w:type="dxa"/>
          <w:bottom w:w="28" w:type="dxa"/>
          <w:right w:w="28" w:type="dxa"/>
        </w:tblCellMar>
      </w:tblPr>
      <w:tblGrid>
        <w:gridCol w:w="6121"/>
        <w:gridCol w:w="146"/>
        <w:gridCol w:w="242"/>
        <w:gridCol w:w="1723"/>
        <w:gridCol w:w="29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6,056,005</w:t>
            </w:r>
          </w:p>
        </w:tc>
        <w:tc>
          <w:tcPr>
            <w:tcW w:w="291" w:type="dxa"/>
            <w:tcBorders/>
            <w:shd w:fill="CFF0FC" w:val="cle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 issued and outstanding</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3,971,812</w:t>
            </w:r>
          </w:p>
        </w:tc>
        <w:tc>
          <w:tcPr>
            <w:tcW w:w="291" w:type="dxa"/>
            <w:tcBorders/>
            <w:shd w:fill="FFFFFF" w:val="clear"/>
            <w:vAlign w:val="center"/>
          </w:tcPr>
          <w:p>
            <w:pPr>
              <w:pStyle w:val="TableContents"/>
              <w:bidi w:val="0"/>
              <w:spacing w:before="0" w:after="283"/>
              <w:jc w:val="lef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potential conversion of L1 Convertible Note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shd w:fill="CFF0FC" w:val="cle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245,773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2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15,579,451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Tigo had outstanding warrants to purchase 1,915,372 shares of Legacy Tigo common stock (“Legacy Warrants”), which (prior to the consummation of the Business Combination) represented rights to purchase Legacy Tigo common stock. During the year ended December 31, 2023, 1,915,372 Legacy Warrants were net exercised resulting in the issuance of 1,491,229 shares of Common Stock. As of December 31, 2023, there were no Legacy Warrants outstanding.</w:t>
      </w:r>
    </w:p>
    <w:p>
      <w:pPr>
        <w:pStyle w:val="TextBody"/>
        <w:bidi w:val="0"/>
        <w:spacing w:before="240" w:after="120"/>
        <w:jc w:val="both"/>
        <w:rPr>
          <w:rFonts w:ascii="Times New Roman" w:hAnsi="Times New Roman"/>
          <w:sz w:val="20"/>
        </w:rPr>
      </w:pPr>
      <w:r>
        <w:rPr>
          <w:rFonts w:ascii="Times New Roman" w:hAnsi="Times New Roman"/>
          <w:color w:val="000000"/>
          <w:sz w:val="20"/>
        </w:rPr>
        <w:t xml:space="preserve">In connection with the Business Combination, the Company assumed 5,750,000 </w:t>
      </w:r>
      <w:r>
        <w:rPr>
          <w:rFonts w:ascii="Times New Roman" w:hAnsi="Times New Roman"/>
          <w:color w:val="221F1F"/>
          <w:sz w:val="20"/>
        </w:rPr>
        <w:t>warrants originally issued as part of ROCG’s units in ROCG’s initial public offering (the “Public Warrants”)</w:t>
      </w:r>
      <w:r>
        <w:rPr>
          <w:rFonts w:ascii="Times New Roman" w:hAnsi="Times New Roman"/>
          <w:color w:val="000000"/>
          <w:sz w:val="20"/>
        </w:rPr>
        <w:t xml:space="preserve"> and 18,750 </w:t>
      </w:r>
      <w:r>
        <w:rPr>
          <w:rFonts w:ascii="Times New Roman" w:hAnsi="Times New Roman"/>
          <w:color w:val="221F1F"/>
          <w:sz w:val="20"/>
        </w:rPr>
        <w:t xml:space="preserve">warrants issued to the initial stockholders of ROCG in a private placement in connection with ROCG’s initial public offering (the “Private Warrants” and, together with the Public Warrants, the “Warrants”), </w:t>
      </w:r>
      <w:r>
        <w:rPr>
          <w:rFonts w:ascii="Times New Roman" w:hAnsi="Times New Roman"/>
          <w:color w:val="000000"/>
          <w:sz w:val="20"/>
        </w:rPr>
        <w:t xml:space="preserve">which, in each case, entitle the holder to purchase one share of Common Stock at an exercise price of $11.50 per share. Except with respect to certain registration rights and transfer restrictions, the Private Warrants are identical to the Public Warrants. The Company has analyzed the Warrants and determined they are freestanding instruments and do not exhibit any of the characteristics in </w:t>
      </w:r>
      <w:r>
        <w:rPr>
          <w:rFonts w:ascii="Times New Roman" w:hAnsi="Times New Roman"/>
          <w:i/>
          <w:color w:val="000000"/>
          <w:sz w:val="20"/>
        </w:rPr>
        <w:t>ASC 480, Distinguishing Liabilities from Equity</w:t>
      </w:r>
      <w:r>
        <w:rPr>
          <w:rFonts w:ascii="Times New Roman" w:hAnsi="Times New Roman"/>
          <w:color w:val="000000"/>
          <w:sz w:val="20"/>
        </w:rPr>
        <w:t xml:space="preserve">, and therefore are not classified as liabilities under </w:t>
      </w:r>
      <w:r>
        <w:rPr>
          <w:rFonts w:ascii="Times New Roman" w:hAnsi="Times New Roman"/>
          <w:i/>
          <w:color w:val="000000"/>
          <w:sz w:val="20"/>
        </w:rPr>
        <w:t>ASC 480, Distinguishing Liabilities from Equity.</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Under the terms of the Warrant Agreement, the Company was entitled to redeem all of its outstanding Warrants for $0.01 per Warrant if the reported closing price of the Company’s Common Stock was at least $18.00 per share on each of twenty trading days within a 30-day trading period ending on the third trading day prior to the date on which a notice of redemption is given. This performance threshold was achieved following the market close on August 4,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at a redemption price of $0.01 per Warrant for those Warrants that remained outstanding following 5:00 p.m. New York City time on September 8, 2023.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 total of 324,546 Warrants were exercised through September 8, 2023, resulting in proceeds, net of issuance costs, of $3.7 million. All other Warrants were redeemed on September 8,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paid $0.1 million for the remaining Warrants that were not exercised as of September 8, 2023, which was recorded as a reduction to additional paid-in capital on the Company’s condensed consolidated balance sheet. As of December 31, 2023, there were no Warrants outstanding.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Business Combination, as discussed in Note 3, the Company issued 47,918,992 shares of Common Stock to holders of convertible preferred stock of Legacy Tigo. No convertible preferred securities were outstanding as of December 31, 2023. Prior to the Business Combination, Legacy Tigo’s convertible preferred stock was classified outside of stockholders’ deficit because the shares contained deemed liquidation rights that were contingent redemption features not solely within the control of Legacy Tigo. As a result, all of Legacy Tigo’s convertible preferred stock was classified as mezzanine equity.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Convertible Preferred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Warrants to purchase a total of 1,064,446 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 shares of convertible preferred stock which were immediately converted into Common Stock in connection with the recapitalization. As of December 31, 2023, there were no convertible preferred stock warrants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is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 year period with no cliff vesting. As of September 30, 2024, 316,634 stock options granted under the 2023 Plan had vested and were exercisable. There have been no stock options exercised under the 2023 Plan. The RSUs generally vest over a three-year period, following the date of grant, with a third of the award vesting on each year on the annual anniversary of the grant date. As of September 30, 2024, 2,369,213 RSUs that were granted under the 2023 Plan have vested into shares of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grant-date fair value and assumes that performance goals will be achieved. If the performance goals are not met, no compensation expense is recognized and any recognized compensation expense is reversed. The Company recorded stock-based compensation expense in the following expense categories in its accompanying condensed consolidated statements of operations and comprehensive loss: </w:t>
      </w:r>
    </w:p>
    <w:p>
      <w:pPr>
        <w:pStyle w:val="TextBody"/>
        <w:bidi w:val="0"/>
        <w:jc w:val="both"/>
        <w:rPr/>
      </w:pPr>
      <w:r>
        <w:rPr/>
        <w:t> </w:t>
      </w:r>
    </w:p>
    <w:tbl>
      <w:tblPr>
        <w:tblW w:w="9251" w:type="dxa"/>
        <w:jc w:val="left"/>
        <w:tblInd w:w="0" w:type="dxa"/>
        <w:tblLayout w:type="fixed"/>
        <w:tblCellMar>
          <w:top w:w="28" w:type="dxa"/>
          <w:left w:w="28" w:type="dxa"/>
          <w:bottom w:w="28" w:type="dxa"/>
          <w:right w:w="28" w:type="dxa"/>
        </w:tblCellMar>
      </w:tblPr>
      <w:tblGrid>
        <w:gridCol w:w="2946"/>
        <w:gridCol w:w="346"/>
        <w:gridCol w:w="251"/>
        <w:gridCol w:w="679"/>
        <w:gridCol w:w="411"/>
        <w:gridCol w:w="411"/>
        <w:gridCol w:w="251"/>
        <w:gridCol w:w="679"/>
        <w:gridCol w:w="146"/>
        <w:gridCol w:w="146"/>
        <w:gridCol w:w="295"/>
        <w:gridCol w:w="798"/>
        <w:gridCol w:w="204"/>
        <w:gridCol w:w="204"/>
        <w:gridCol w:w="295"/>
        <w:gridCol w:w="798"/>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411"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CFF0FC" w:val="clear"/>
            <w:vAlign w:val="center"/>
          </w:tcPr>
          <w:p>
            <w:pPr>
              <w:pStyle w:val="TableContents"/>
              <w:bidi w:val="0"/>
              <w:spacing w:before="0" w:after="283"/>
              <w:jc w:val="left"/>
              <w:rPr/>
            </w:pPr>
            <w:r>
              <w:rPr/>
              <w:t> </w:t>
            </w:r>
          </w:p>
        </w:tc>
      </w:tr>
      <w:tr>
        <w:trPr/>
        <w:tc>
          <w:tcPr>
            <w:tcW w:w="2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411"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391" w:type="dxa"/>
            <w:tcBorders/>
            <w:shd w:fill="FFFFFF" w:val="clear"/>
            <w:vAlign w:val="center"/>
          </w:tcPr>
          <w:p>
            <w:pPr>
              <w:pStyle w:val="TableContents"/>
              <w:bidi w:val="0"/>
              <w:spacing w:before="0" w:after="283"/>
              <w:jc w:val="left"/>
              <w:rPr/>
            </w:pPr>
            <w:r>
              <w:rPr/>
              <w:t> </w:t>
            </w:r>
          </w:p>
        </w:tc>
      </w:tr>
      <w:tr>
        <w:trPr/>
        <w:tc>
          <w:tcPr>
            <w:tcW w:w="2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411"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391" w:type="dxa"/>
            <w:tcBorders/>
            <w:shd w:fill="CFF0FC" w:val="clear"/>
            <w:vAlign w:val="center"/>
          </w:tcPr>
          <w:p>
            <w:pPr>
              <w:pStyle w:val="TableContents"/>
              <w:bidi w:val="0"/>
              <w:spacing w:before="0" w:after="283"/>
              <w:jc w:val="left"/>
              <w:rPr/>
            </w:pPr>
            <w:r>
              <w:rPr/>
              <w:t> </w:t>
            </w:r>
          </w:p>
        </w:tc>
      </w:tr>
      <w:tr>
        <w:trPr/>
        <w:tc>
          <w:tcPr>
            <w:tcW w:w="2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11" w:type="dxa"/>
            <w:tcBorders/>
            <w:shd w:fill="CFF0FC" w:val="clear"/>
            <w:vAlign w:val="center"/>
          </w:tcPr>
          <w:p>
            <w:pPr>
              <w:pStyle w:val="TableContents"/>
              <w:bidi w:val="0"/>
              <w:spacing w:before="0" w:after="283"/>
              <w:ind w:left="200" w:right="0" w:firstLine="200"/>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nine months ended September 30, 2024: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30"/>
        <w:gridCol w:w="146"/>
        <w:gridCol w:w="146"/>
        <w:gridCol w:w="931"/>
        <w:gridCol w:w="166"/>
        <w:gridCol w:w="146"/>
        <w:gridCol w:w="315"/>
        <w:gridCol w:w="699"/>
        <w:gridCol w:w="146"/>
        <w:gridCol w:w="146"/>
        <w:gridCol w:w="235"/>
        <w:gridCol w:w="755"/>
        <w:gridCol w:w="146"/>
        <w:gridCol w:w="146"/>
        <w:gridCol w:w="608"/>
        <w:gridCol w:w="1648"/>
        <w:gridCol w:w="296"/>
      </w:tblGrid>
      <w:tr>
        <w:trPr/>
        <w:tc>
          <w:tcPr>
            <w:tcW w:w="3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3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6"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ind w:left="0" w:right="0" w:firstLine="100"/>
              <w:jc w:val="right"/>
              <w:rPr/>
            </w:pPr>
            <w:r>
              <w:rPr/>
              <w:t> </w:t>
            </w:r>
          </w:p>
        </w:tc>
      </w:tr>
      <w:tr>
        <w:trPr/>
        <w:tc>
          <w:tcPr>
            <w:tcW w:w="353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6" w:type="dxa"/>
            <w:gridSpan w:val="2"/>
            <w:tcBorders/>
            <w:shd w:fill="FFFFFF" w:val="clear"/>
            <w:vAlign w:val="center"/>
          </w:tcPr>
          <w:p>
            <w:pPr>
              <w:pStyle w:val="TableContents"/>
              <w:bidi w:val="0"/>
              <w:spacing w:before="0" w:after="283"/>
              <w:jc w:val="right"/>
              <w:rPr/>
            </w:pPr>
            <w:r>
              <w:rPr/>
              <w:t> </w:t>
            </w:r>
          </w:p>
        </w:tc>
        <w:tc>
          <w:tcPr>
            <w:tcW w:w="296" w:type="dxa"/>
            <w:tcBorders/>
            <w:shd w:fill="FFFFFF" w:val="clear"/>
            <w:vAlign w:val="center"/>
          </w:tcPr>
          <w:p>
            <w:pPr>
              <w:pStyle w:val="TableContents"/>
              <w:bidi w:val="0"/>
              <w:spacing w:before="0" w:after="283"/>
              <w:ind w:left="0" w:right="0" w:firstLine="100"/>
              <w:jc w:val="right"/>
              <w:rPr/>
            </w:pPr>
            <w:r>
              <w:rPr/>
              <w:t> </w:t>
            </w:r>
          </w:p>
        </w:tc>
      </w:tr>
      <w:tr>
        <w:trPr/>
        <w:tc>
          <w:tcPr>
            <w:tcW w:w="353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56"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ind w:left="0" w:right="0" w:firstLine="100"/>
              <w:jc w:val="right"/>
              <w:rPr/>
            </w:pPr>
            <w:r>
              <w:rPr/>
              <w:t> </w:t>
            </w:r>
          </w:p>
        </w:tc>
      </w:tr>
      <w:tr>
        <w:trPr/>
        <w:tc>
          <w:tcPr>
            <w:tcW w:w="353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6" w:type="dxa"/>
            <w:gridSpan w:val="2"/>
            <w:tcBorders/>
            <w:shd w:fill="FFFFFF" w:val="clear"/>
            <w:vAlign w:val="center"/>
          </w:tcPr>
          <w:p>
            <w:pPr>
              <w:pStyle w:val="TableContents"/>
              <w:bidi w:val="0"/>
              <w:spacing w:before="0" w:after="283"/>
              <w:jc w:val="right"/>
              <w:rPr/>
            </w:pPr>
            <w:r>
              <w:rPr/>
              <w:t> </w:t>
            </w:r>
          </w:p>
        </w:tc>
        <w:tc>
          <w:tcPr>
            <w:tcW w:w="296" w:type="dxa"/>
            <w:tcBorders/>
            <w:shd w:fill="FFFFFF" w:val="clear"/>
            <w:vAlign w:val="center"/>
          </w:tcPr>
          <w:p>
            <w:pPr>
              <w:pStyle w:val="TableContents"/>
              <w:bidi w:val="0"/>
              <w:spacing w:before="0" w:after="283"/>
              <w:ind w:left="0" w:right="0" w:firstLine="100"/>
              <w:jc w:val="right"/>
              <w:rPr/>
            </w:pPr>
            <w:r>
              <w:rPr/>
              <w:t> </w:t>
            </w:r>
          </w:p>
        </w:tc>
      </w:tr>
      <w:tr>
        <w:trPr/>
        <w:tc>
          <w:tcPr>
            <w:tcW w:w="353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56"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right"/>
              <w:rPr/>
            </w:pPr>
            <w:r>
              <w:rPr/>
              <w:t> </w:t>
            </w:r>
          </w:p>
        </w:tc>
      </w:tr>
      <w:tr>
        <w:trPr/>
        <w:tc>
          <w:tcPr>
            <w:tcW w:w="35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296" w:type="dxa"/>
            <w:tcBorders/>
            <w:shd w:fill="FFFFFF" w:val="clear"/>
            <w:vAlign w:val="center"/>
          </w:tcPr>
          <w:p>
            <w:pPr>
              <w:pStyle w:val="TableContents"/>
              <w:bidi w:val="0"/>
              <w:spacing w:before="0" w:after="283"/>
              <w:jc w:val="left"/>
              <w:rPr/>
            </w:pPr>
            <w:r>
              <w:rPr/>
              <w:t> </w:t>
            </w:r>
          </w:p>
        </w:tc>
      </w:tr>
      <w:tr>
        <w:trPr/>
        <w:tc>
          <w:tcPr>
            <w:tcW w:w="35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296" w:type="dxa"/>
            <w:tcBorders/>
            <w:shd w:fill="CFF0FC"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6" w:type="dxa"/>
            <w:gridSpan w:val="2"/>
            <w:tcBorders/>
            <w:shd w:fill="FFFFFF" w:val="clear"/>
            <w:vAlign w:val="center"/>
          </w:tcPr>
          <w:p>
            <w:pPr>
              <w:pStyle w:val="TableContents"/>
              <w:bidi w:val="0"/>
              <w:spacing w:before="0" w:after="283"/>
              <w:jc w:val="right"/>
              <w:rPr/>
            </w:pPr>
            <w:r>
              <w:rPr/>
              <w:t> </w:t>
            </w:r>
          </w:p>
        </w:tc>
        <w:tc>
          <w:tcPr>
            <w:tcW w:w="296"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2024, the total unrecognized compensation expense related to unvested stock option awards was $8.8 million, which the Company expects to recognize over a weighted-average period of 2.8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each stock option granted during the nine months ended September 30, 2024, was estimated on the date of grant using the weighted average assumptions in the table below: </w:t>
      </w:r>
    </w:p>
    <w:p>
      <w:pPr>
        <w:pStyle w:val="TextBody"/>
        <w:bidi w:val="0"/>
        <w:jc w:val="both"/>
        <w:rPr/>
      </w:pPr>
      <w:r>
        <w:rPr/>
        <w:t> </w:t>
      </w:r>
    </w:p>
    <w:tbl>
      <w:tblPr>
        <w:tblW w:w="6100" w:type="dxa"/>
        <w:jc w:val="left"/>
        <w:tblInd w:w="0" w:type="dxa"/>
        <w:tblLayout w:type="fixed"/>
        <w:tblCellMar>
          <w:top w:w="28" w:type="dxa"/>
          <w:left w:w="28" w:type="dxa"/>
          <w:bottom w:w="28" w:type="dxa"/>
          <w:right w:w="28" w:type="dxa"/>
        </w:tblCellMar>
      </w:tblPr>
      <w:tblGrid>
        <w:gridCol w:w="2131"/>
        <w:gridCol w:w="146"/>
        <w:gridCol w:w="367"/>
        <w:gridCol w:w="1178"/>
        <w:gridCol w:w="271"/>
        <w:gridCol w:w="146"/>
        <w:gridCol w:w="367"/>
        <w:gridCol w:w="117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Plans for the nine months ended September 30, 2024:</w:t>
      </w:r>
    </w:p>
    <w:tbl>
      <w:tblPr>
        <w:tblW w:w="7212" w:type="dxa"/>
        <w:jc w:val="left"/>
        <w:tblInd w:w="0" w:type="dxa"/>
        <w:tblLayout w:type="fixed"/>
        <w:tblCellMar>
          <w:top w:w="28" w:type="dxa"/>
          <w:left w:w="28" w:type="dxa"/>
          <w:bottom w:w="28" w:type="dxa"/>
          <w:right w:w="28" w:type="dxa"/>
        </w:tblCellMar>
      </w:tblPr>
      <w:tblGrid>
        <w:gridCol w:w="2986"/>
        <w:gridCol w:w="146"/>
        <w:gridCol w:w="146"/>
        <w:gridCol w:w="991"/>
        <w:gridCol w:w="166"/>
        <w:gridCol w:w="146"/>
        <w:gridCol w:w="629"/>
        <w:gridCol w:w="1711"/>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2,369,213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2024, the total unrecognized compensation expense related to unvested RSUs was $7.1 million, which the Company expects to recognize over a weighted-average period of 2.0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During the nine months ended September 30, 2024, the Company granted an aggregate of 1,869,602 PSUs to its executives and certain personnel within the Company. The PSUs vest over a three-year period beginning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PSU activity for the Plans for the nine months ended September 30, 2024:</w:t>
      </w:r>
    </w:p>
    <w:tbl>
      <w:tblPr>
        <w:tblW w:w="7132" w:type="dxa"/>
        <w:jc w:val="left"/>
        <w:tblInd w:w="0" w:type="dxa"/>
        <w:tblLayout w:type="fixed"/>
        <w:tblCellMar>
          <w:top w:w="28" w:type="dxa"/>
          <w:left w:w="28" w:type="dxa"/>
          <w:bottom w:w="28" w:type="dxa"/>
          <w:right w:w="28" w:type="dxa"/>
        </w:tblCellMar>
      </w:tblPr>
      <w:tblGrid>
        <w:gridCol w:w="2986"/>
        <w:gridCol w:w="146"/>
        <w:gridCol w:w="146"/>
        <w:gridCol w:w="931"/>
        <w:gridCol w:w="146"/>
        <w:gridCol w:w="146"/>
        <w:gridCol w:w="729"/>
        <w:gridCol w:w="1611"/>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2024, the Company did not believe it was probable that the performance criteria associated with the PSUs would be achieved. Accordingly, no compensation expense has been recognized for these awards, and there is no unrecognized compensation cost associated with these awards. The Company will reassess the probability of achieving the performance conditions at each reporting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Philippines and Thailand. All of the Company leases are classified as operating leases. The Company has no leases classified as finance or sales-type leases. For leases with terms greater than 12 months, the Company records the related assets and obligations at the present value of lease payments over the term. Many of its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rPr/>
      </w:pPr>
      <w:r>
        <w:rPr/>
        <w:t> </w:t>
      </w:r>
    </w:p>
    <w:tbl>
      <w:tblPr>
        <w:tblW w:w="8138" w:type="dxa"/>
        <w:jc w:val="left"/>
        <w:tblInd w:w="0" w:type="dxa"/>
        <w:tblLayout w:type="fixed"/>
        <w:tblCellMar>
          <w:top w:w="28" w:type="dxa"/>
          <w:left w:w="28" w:type="dxa"/>
          <w:bottom w:w="28" w:type="dxa"/>
          <w:right w:w="28" w:type="dxa"/>
        </w:tblCellMar>
      </w:tblPr>
      <w:tblGrid>
        <w:gridCol w:w="2031"/>
        <w:gridCol w:w="146"/>
        <w:gridCol w:w="364"/>
        <w:gridCol w:w="726"/>
        <w:gridCol w:w="252"/>
        <w:gridCol w:w="252"/>
        <w:gridCol w:w="364"/>
        <w:gridCol w:w="726"/>
        <w:gridCol w:w="146"/>
        <w:gridCol w:w="146"/>
        <w:gridCol w:w="295"/>
        <w:gridCol w:w="798"/>
        <w:gridCol w:w="204"/>
        <w:gridCol w:w="204"/>
        <w:gridCol w:w="295"/>
        <w:gridCol w:w="798"/>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10152" w:type="dxa"/>
        <w:jc w:val="left"/>
        <w:tblInd w:w="0" w:type="dxa"/>
        <w:tblLayout w:type="fixed"/>
        <w:tblCellMar>
          <w:top w:w="28" w:type="dxa"/>
          <w:left w:w="28" w:type="dxa"/>
          <w:bottom w:w="28" w:type="dxa"/>
          <w:right w:w="28" w:type="dxa"/>
        </w:tblCellMar>
      </w:tblPr>
      <w:tblGrid>
        <w:gridCol w:w="7121"/>
        <w:gridCol w:w="146"/>
        <w:gridCol w:w="295"/>
        <w:gridCol w:w="798"/>
        <w:gridCol w:w="204"/>
        <w:gridCol w:w="204"/>
        <w:gridCol w:w="295"/>
        <w:gridCol w:w="798"/>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71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8100" w:type="dxa"/>
        <w:jc w:val="left"/>
        <w:tblInd w:w="0" w:type="dxa"/>
        <w:tblLayout w:type="fixed"/>
        <w:tblCellMar>
          <w:top w:w="28" w:type="dxa"/>
          <w:left w:w="28" w:type="dxa"/>
          <w:bottom w:w="28" w:type="dxa"/>
          <w:right w:w="28" w:type="dxa"/>
        </w:tblCellMar>
      </w:tblPr>
      <w:tblGrid>
        <w:gridCol w:w="4101"/>
        <w:gridCol w:w="146"/>
        <w:gridCol w:w="443"/>
        <w:gridCol w:w="1102"/>
        <w:gridCol w:w="271"/>
        <w:gridCol w:w="146"/>
        <w:gridCol w:w="430"/>
        <w:gridCol w:w="1070"/>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September 30, 2024:</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2024, the Company had a goodwill balance of $12.2 million. The goodwill balance is related to the acquisition of fSight. Please refer to Note 4. “Acquisition of Foresight Energy, Ltd.” for further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7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7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$0.1 million and $0.1 million for the three months ended September 30, 2024, and 2023, respectively. The Company recognized amortization expense related to acquired intangible assets of $0.2 million and $0.2 million for the nine months ended September 30, 2024, and 2023, respectively.</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Amortization expense related to intangible assets at September 30, 2024, in each of the next five years and beyond is expected to be incurred as follows:</w:t>
      </w:r>
    </w:p>
    <w:tbl>
      <w:tblPr>
        <w:tblW w:w="2800" w:type="dxa"/>
        <w:jc w:val="left"/>
        <w:tblInd w:w="0" w:type="dxa"/>
        <w:tblLayout w:type="fixed"/>
        <w:tblCellMar>
          <w:top w:w="28" w:type="dxa"/>
          <w:left w:w="28" w:type="dxa"/>
          <w:bottom w:w="28" w:type="dxa"/>
          <w:right w:w="28" w:type="dxa"/>
        </w:tblCellMar>
      </w:tblPr>
      <w:tblGrid>
        <w:gridCol w:w="1681"/>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CEC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CCEC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CCEC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income tax expense, deferred tax assets and liabilities, and reserves for unrecognized tax benefits reflect management’s best assessment of estimated current and future taxes to be paid. The Company is subject to income taxes in both the United States and foreign jurisdictions. Significant judgment and estimates are required in determining the consolidated 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each reporting date, management considers new evidence, both positive and negative, that could affect its view of the future realization of deferred tax assets. In the second quarter of 2023, the Company assessed all available positive and negative evidence placing the most weight on objectively verifiable information. As such, the Company’s cumulative profit position was given the most weight and, based on estimated future sources of taxable income, the Company determined that the future benefits were more likely than not to be realized and released the valuation allowance against U.S. federal net deferred tax assets. The Company continued to record a valuation allowance against its state net deferred tax assets which is primarily the state of California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third quarter of 2023, management considered new evidence, both positive and negative, that could affect its view of the future realization of deferred tax assets. In the third quarter of 2023, the Company and its industry overall experienced a significant change in outlook. As a result of the significant number of bankruptcies by installers, higher than expected order cancellations and pushouts, slower than expected installation rates, higher inventory levels in the channel and a general slowdown in the macroeconomic environment in the third quarter of 2023, the Company assessed all available positive and negative evidence and determined that its U.S. federal net deferred tax asset is no longer more likely than not realizable and recorded a valuation allowance against its U.S. federal net deferred tax assets. In making this determination, the Company placed the most weight on objectively verifiable information which was the Company’s cumulative loss position. As a result, the Company recorded a tax expense and valuation allowance of $11.1 million on the basis of managements’ reassessment of the amount of its deferred tax assets that were more likely than not to be realized. As of September 30, 2024, the Company has maintained this position.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was no income tax expense and $11.0 million of income tax expense for the three months ended September 30, 2024, and 2023, respectively. Income tax expense was $16,000 and $29,000 for the nine months ended September 30, 2024, and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tax rates for the three months ended September 30, 2024, and 2023 were 0.0% and 27.4%, respectively. The effective tax rates for the nine months ended September 30, 2024, and 2023 was 0.0%. The item that had the most significant impact on the difference between the statutory U.S. federal income tax rate of 21.0% and the effective tax rate for the three and nine months ended September 30, 2024, was the valuation allowance which offset the tax benefit of book losses. The item that had the most significant impact on the difference between the statutory U.S. federal income tax rate of 21% and the effective tax rate for the three months ended September 30, 2023, was the discrete tax expense of recording valuation allowance against U.S. net deferred tax assets. The item that had the most significant impact on the difference between the statutory U.S. federal income tax rate of 21% and the effective tax rate of 0.0% for the nine months ended September 30, 2023, was the change in valuation allowance which offset the tax benefit of book losses.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2023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2023 Annual Report. Additionally, our historical results are not necessarily indicative of the results that may be expected for any period in the future. Unless otherwise indicated or the context otherwise requires, references in this section to “we,” “our,” “us,” “the Company” or other similar terms refer to the business and operations of Tigo Energy, Inc. and its subsidiaries prior to the Business Combination (“Legacy Tigo”) and Tigo Energy Inc. following the consummation of the Business Combination. References to “ROCG” refer to Roth CH Acquisition IV Co. prior to the consummation of the Business Combination.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i/>
          <w:color w:val="000000"/>
          <w:sz w:val="20"/>
        </w:rPr>
        <w:t>Demand for Products.</w:t>
      </w:r>
      <w:r>
        <w:rPr>
          <w:rFonts w:ascii="Times New Roman" w:hAnsi="Times New Roman"/>
          <w:color w:val="000000"/>
          <w:sz w:val="20"/>
        </w:rPr>
        <w:t xml:space="preserve"> The demand for our products in Europe and the United States experienced a notable slowdown beginning in the second quarter in 2023 and has continued into 2024. Although our net revenue has increased on a sequential basis in each quarter of 2024, our quarterly and year-to-date results remain substantially lower than comparable periods of the prior year. In Europe, the slowdown was primarily due to elevated inventory levels with distributors and an overall channel inventory correction as they responded to a slower demand environment. Additionally, there has been uncertainty surrounding the net energy metering policies and solar export penalties in the European markets, such as Germany, Belgium, Italy and the United Kingdom, which also contributed to the overall slowdown in demand in Europe. In the United States, the slowdown was primarily attributable due to higher interest rates than recent prior periods and the transition from the second iteration of net metering (“NEM 2.0”) to the third iteration of net metering (“NEM 3.0”) in California. In response to these factors, we reduced staffing levels across all geographies in December 2023 by approximately 15%, and in April 2024 by approximately 10%. In addition, our inventory levels have continued to remain elevated in 2024 compared to historical norms. As a result, we recognized charges of $3.4 million and $4.0 million to write down inventories to their estimated net realizable value for the three and nine months ended September 30, 2024, respectively. Further write-downs of inventories and additional cost reduction measures in future quarters could occur if market conditions do not improve or deteriorate.</w:t>
      </w:r>
    </w:p>
    <w:p>
      <w:pPr>
        <w:pStyle w:val="TextBody"/>
        <w:bidi w:val="0"/>
        <w:spacing w:before="240" w:after="283"/>
        <w:jc w:val="both"/>
        <w:rPr>
          <w:rFonts w:ascii="Times New Roman" w:hAnsi="Times New Roman"/>
          <w:sz w:val="20"/>
        </w:rPr>
      </w:pPr>
      <w:r>
        <w:rPr>
          <w:rFonts w:ascii="Times New Roman" w:hAnsi="Times New Roman"/>
          <w:i/>
          <w:color w:val="000000"/>
          <w:sz w:val="20"/>
        </w:rPr>
        <w:t>Unfavorable Macroeconomic and Market Conditions.</w:t>
      </w:r>
      <w:r>
        <w:rPr>
          <w:rFonts w:ascii="Times New Roman" w:hAnsi="Times New Roman"/>
          <w:color w:val="000000"/>
          <w:sz w:val="20"/>
        </w:rPr>
        <w:t xml:space="preserve"> The global macroeconomic and market uncertainty, including higher interest rates and inflation, has caused disruptions in financial markets and may continue to have an adverse effect on the U.S. and world economies. Since the second quarter of 2023, we have experienced a significant number of customer requests to delay purchase order deliveries and a smaller number of purchase order cancellations and returns. Other customers may decide to delay purchasing our products and services or not purchase at all. A tighter credit market for consumer and business spending could, in turn, adversely affect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240" w:after="283"/>
        <w:jc w:val="both"/>
        <w:rPr>
          <w:rFonts w:ascii="Times New Roman" w:hAnsi="Times New Roman"/>
          <w:sz w:val="20"/>
        </w:rPr>
      </w:pPr>
      <w:r>
        <w:rPr>
          <w:rFonts w:ascii="Times New Roman" w:hAnsi="Times New Roman"/>
          <w:i/>
          <w:color w:val="000000"/>
          <w:sz w:val="20"/>
        </w:rPr>
        <w:t>Managing Supply Chain.</w:t>
      </w:r>
      <w:r>
        <w:rPr>
          <w:rFonts w:ascii="Times New Roman" w:hAnsi="Times New Roman"/>
          <w:color w:val="000000"/>
          <w:sz w:val="20"/>
        </w:rPr>
        <w:t xml:space="preserve"> We rely on contract manufacturers and suppliers to produce our components.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A significant portion of our supply chain originates in Thailand and China. In the event we are unable to mitigate the impact of delays and/or price increases in raw materials, electronic components and freight, it could delay the manufacturing and delivery of our products, which would adversely impact our cash flows and results of operations, including revenue and gross margin. In addition, in a slowing economic environment, our inventory levels may continue to increase due to existing purchase commitments and our ability to negotiate volume pricing discounts may be impaired.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Expansion of Sales with Existing Customers and Adding New Customers.</w:t>
      </w:r>
      <w:r>
        <w:rPr>
          <w:rFonts w:ascii="Times New Roman" w:hAnsi="Times New Roman"/>
          <w:color w:val="000000"/>
          <w:sz w:val="20"/>
        </w:rPr>
        <w:t xml:space="preserve"> Our future revenue growth is, in part, dependent on our ability to expand product offerings and services in the U.S. residential market. In our North American market, revenue is generally generated from our product offerings and services in the commercial and industrial markets. In order to continue revenue growth, we plan to expand our presence in the residential market through offerings with residential solar providers. We also expect to continue to evaluate and invest in new market opportunities internationally. We believe that our entry into new markets will continue to facilitate revenue growth and customer diversification.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EMEA. </w:t>
      </w:r>
    </w:p>
    <w:p>
      <w:pPr>
        <w:pStyle w:val="TextBody"/>
        <w:bidi w:val="0"/>
        <w:spacing w:before="240" w:after="283"/>
        <w:jc w:val="both"/>
        <w:rPr>
          <w:rFonts w:ascii="Times New Roman" w:hAnsi="Times New Roman"/>
          <w:sz w:val="20"/>
        </w:rPr>
      </w:pPr>
      <w:r>
        <w:rPr>
          <w:rFonts w:ascii="Times New Roman" w:hAnsi="Times New Roman"/>
          <w:i/>
          <w:color w:val="000000"/>
          <w:sz w:val="20"/>
        </w:rPr>
        <w:t>Expansion of New Products and Services.</w:t>
      </w:r>
      <w:r>
        <w:rPr>
          <w:rFonts w:ascii="Times New Roman" w:hAnsi="Times New Roman"/>
          <w:color w:val="000000"/>
          <w:sz w:val="20"/>
        </w:rPr>
        <w:t xml:space="preserve"> We have made substantial investments in research and development and sales and marketing to achieve a leading position in our market and revenue growth. While a majority of our revenue is generated from the sale of our MLPE products, we also generate revenue from our offerings of GO Energy Storage Systems (“GO ESS”) and Predict+ service, and the Company intends to continue developing and promoting these product and service lines.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tbl>
      <w:tblPr>
        <w:tblW w:w="8750" w:type="dxa"/>
        <w:jc w:val="left"/>
        <w:tblInd w:w="0" w:type="dxa"/>
        <w:tblLayout w:type="fixed"/>
        <w:tblCellMar>
          <w:top w:w="28" w:type="dxa"/>
          <w:left w:w="28" w:type="dxa"/>
          <w:bottom w:w="28" w:type="dxa"/>
          <w:right w:w="28" w:type="dxa"/>
        </w:tblCellMar>
      </w:tblPr>
      <w:tblGrid>
        <w:gridCol w:w="2596"/>
        <w:gridCol w:w="146"/>
        <w:gridCol w:w="245"/>
        <w:gridCol w:w="855"/>
        <w:gridCol w:w="314"/>
        <w:gridCol w:w="169"/>
        <w:gridCol w:w="245"/>
        <w:gridCol w:w="855"/>
        <w:gridCol w:w="271"/>
        <w:gridCol w:w="146"/>
        <w:gridCol w:w="232"/>
        <w:gridCol w:w="810"/>
        <w:gridCol w:w="298"/>
        <w:gridCol w:w="160"/>
        <w:gridCol w:w="232"/>
        <w:gridCol w:w="860"/>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314"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298"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316"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31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48,433</w:t>
            </w:r>
          </w:p>
        </w:tc>
        <w:tc>
          <w:tcPr>
            <w:tcW w:w="316"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w:t>
            </w:r>
          </w:p>
        </w:tc>
        <w:tc>
          <w:tcPr>
            <w:tcW w:w="2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316"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and Comparison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Revenue</w:t>
      </w:r>
    </w:p>
    <w:p>
      <w:pPr>
        <w:pStyle w:val="TextBody"/>
        <w:bidi w:val="0"/>
        <w:jc w:val="left"/>
        <w:rPr/>
      </w:pPr>
      <w:r>
        <w:rPr/>
        <w:t> </w:t>
      </w:r>
    </w:p>
    <w:tbl>
      <w:tblPr>
        <w:tblW w:w="10433" w:type="dxa"/>
        <w:jc w:val="left"/>
        <w:tblInd w:w="0" w:type="dxa"/>
        <w:tblLayout w:type="fixed"/>
        <w:tblCellMar>
          <w:top w:w="28" w:type="dxa"/>
          <w:left w:w="28" w:type="dxa"/>
          <w:bottom w:w="28" w:type="dxa"/>
          <w:right w:w="28" w:type="dxa"/>
        </w:tblCellMar>
      </w:tblPr>
      <w:tblGrid>
        <w:gridCol w:w="976"/>
        <w:gridCol w:w="146"/>
        <w:gridCol w:w="211"/>
        <w:gridCol w:w="676"/>
        <w:gridCol w:w="146"/>
        <w:gridCol w:w="146"/>
        <w:gridCol w:w="211"/>
        <w:gridCol w:w="676"/>
        <w:gridCol w:w="146"/>
        <w:gridCol w:w="146"/>
        <w:gridCol w:w="211"/>
        <w:gridCol w:w="631"/>
        <w:gridCol w:w="166"/>
        <w:gridCol w:w="146"/>
        <w:gridCol w:w="146"/>
        <w:gridCol w:w="526"/>
        <w:gridCol w:w="271"/>
        <w:gridCol w:w="146"/>
        <w:gridCol w:w="211"/>
        <w:gridCol w:w="676"/>
        <w:gridCol w:w="146"/>
        <w:gridCol w:w="146"/>
        <w:gridCol w:w="211"/>
        <w:gridCol w:w="781"/>
        <w:gridCol w:w="146"/>
        <w:gridCol w:w="146"/>
        <w:gridCol w:w="211"/>
        <w:gridCol w:w="736"/>
        <w:gridCol w:w="166"/>
        <w:gridCol w:w="146"/>
        <w:gridCol w:w="146"/>
        <w:gridCol w:w="526"/>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and nine months ended September 30, 2024, and 2023</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Net revenue decreased by $2.9 million or 16.8% for the three months ended September 30, 2024, and by $99.2 million or 73.0% for the nine months ended September 30, 2024, as compared to the same periods in 2023. The decreases are primarily due to the solar industry experiencing a broad-based slowdown in both the U.S. and European markets, which resulted in elevated inventory with distributors and installers, and as a result the overall demand for our products and services decreased as distributors and installers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responded to this slower demand environment. Please see the section below for further explanations over the fluctuations for each of the Company’s geographic regions. </w:t>
      </w:r>
    </w:p>
    <w:tbl>
      <w:tblPr>
        <w:tblW w:w="10433" w:type="dxa"/>
        <w:jc w:val="left"/>
        <w:tblInd w:w="0" w:type="dxa"/>
        <w:tblLayout w:type="fixed"/>
        <w:tblCellMar>
          <w:top w:w="28" w:type="dxa"/>
          <w:left w:w="28" w:type="dxa"/>
          <w:bottom w:w="28" w:type="dxa"/>
          <w:right w:w="28" w:type="dxa"/>
        </w:tblCellMar>
      </w:tblPr>
      <w:tblGrid>
        <w:gridCol w:w="976"/>
        <w:gridCol w:w="146"/>
        <w:gridCol w:w="211"/>
        <w:gridCol w:w="676"/>
        <w:gridCol w:w="146"/>
        <w:gridCol w:w="146"/>
        <w:gridCol w:w="211"/>
        <w:gridCol w:w="676"/>
        <w:gridCol w:w="146"/>
        <w:gridCol w:w="146"/>
        <w:gridCol w:w="211"/>
        <w:gridCol w:w="631"/>
        <w:gridCol w:w="166"/>
        <w:gridCol w:w="146"/>
        <w:gridCol w:w="146"/>
        <w:gridCol w:w="526"/>
        <w:gridCol w:w="271"/>
        <w:gridCol w:w="146"/>
        <w:gridCol w:w="211"/>
        <w:gridCol w:w="676"/>
        <w:gridCol w:w="146"/>
        <w:gridCol w:w="146"/>
        <w:gridCol w:w="211"/>
        <w:gridCol w:w="781"/>
        <w:gridCol w:w="146"/>
        <w:gridCol w:w="146"/>
        <w:gridCol w:w="211"/>
        <w:gridCol w:w="736"/>
        <w:gridCol w:w="166"/>
        <w:gridCol w:w="146"/>
        <w:gridCol w:w="146"/>
        <w:gridCol w:w="526"/>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and nine months ended September 30, 2024, and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decreased by $1.6 million or 15.6% for the three months ended September 30, 2024, and by $84.2 million or 79.7% for the nine months ended September 30, 2024, as compared to the same periods in 2023. The decreases are primarily due to a slowdown in demand in the region due to elevated inventory levels at distributors and installers. This slowdown was primarily the result of a decrease in customer purchases in Europe after a surge of sales were realized in 2022 and going into the first half of 2023 due to higher energy prices in Europe related to the onset of the armed conflict in Ukraine in 2022, and overall channel inventory correction.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Americas - Net revenue for the Americas region decreased by $0.6 million or 17.8% for the three months ended September 30, 2024, and by $13.3 million or 60.9% for the nine months ended September 30, 2024, as compared to the same periods in 2023. The decreases are primarily due to demand for our solutions slowing as a result of higher interest rates impacting customers’ investment decisions and the transition from NEM 2.0 to NEM 3.0 in California.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APAC - Net revenue for the APAC region decreased by $0.6 million or 19.1% for the three months ended September 30, 2024, and decreased by $1.8 million or 21.1% for the nine months ended September 30, 2024, as compared to the same periods in 2023. The decrease in net revenue for the three months ended September 30, 2024, compared to the same period in 2023 is primarily due to an overall decline in sales in Asia of $1.3 million, which is partially offset by an increase in sales in Australia of $0.7 million. The decrease in net revenue for the nine months ended September 30, 2024, compared to the same period in 2023 was primarily driven by a $1.6 million decline in sales in China.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Revenues and Gross Profit</w:t>
      </w:r>
    </w:p>
    <w:p>
      <w:pPr>
        <w:pStyle w:val="TextBody"/>
        <w:bidi w:val="0"/>
        <w:jc w:val="left"/>
        <w:rPr/>
      </w:pPr>
      <w:r>
        <w:rPr/>
        <w:t> </w:t>
      </w:r>
    </w:p>
    <w:tbl>
      <w:tblPr>
        <w:tblW w:w="10828" w:type="dxa"/>
        <w:jc w:val="left"/>
        <w:tblInd w:w="0" w:type="dxa"/>
        <w:tblLayout w:type="fixed"/>
        <w:tblCellMar>
          <w:top w:w="28" w:type="dxa"/>
          <w:left w:w="28" w:type="dxa"/>
          <w:bottom w:w="28" w:type="dxa"/>
          <w:right w:w="28" w:type="dxa"/>
        </w:tblCellMar>
      </w:tblPr>
      <w:tblGrid>
        <w:gridCol w:w="976"/>
        <w:gridCol w:w="146"/>
        <w:gridCol w:w="211"/>
        <w:gridCol w:w="676"/>
        <w:gridCol w:w="271"/>
        <w:gridCol w:w="146"/>
        <w:gridCol w:w="211"/>
        <w:gridCol w:w="676"/>
        <w:gridCol w:w="271"/>
        <w:gridCol w:w="146"/>
        <w:gridCol w:w="211"/>
        <w:gridCol w:w="631"/>
        <w:gridCol w:w="166"/>
        <w:gridCol w:w="146"/>
        <w:gridCol w:w="146"/>
        <w:gridCol w:w="526"/>
        <w:gridCol w:w="271"/>
        <w:gridCol w:w="146"/>
        <w:gridCol w:w="211"/>
        <w:gridCol w:w="676"/>
        <w:gridCol w:w="271"/>
        <w:gridCol w:w="146"/>
        <w:gridCol w:w="211"/>
        <w:gridCol w:w="676"/>
        <w:gridCol w:w="271"/>
        <w:gridCol w:w="146"/>
        <w:gridCol w:w="211"/>
        <w:gridCol w:w="736"/>
        <w:gridCol w:w="166"/>
        <w:gridCol w:w="146"/>
        <w:gridCol w:w="146"/>
        <w:gridCol w:w="526"/>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and 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revenue decreased by $0.5 million or 3.7% and gross profit decreased by $2.4 million or 57.3% for the three months ended September 30, 2024, compared to the same period in 2023. Cost of revenues decreased by $59.2 million or 67.6% and gross profit decreased by $40.0 million or 82.6% for the nine months ended September 30, 2024, as compared to the same period in 2023. The decreases are primarily due to a 16.8% and 73.0% decline in net revenues for the three and nine months ended September 30, 2024, respectively, compared to the same periods in 2023. The decrease is offset by increases in inventory reserves of $3.4 million and $4.0 million during the three and nine months ended September 30, 2024, respectively, compared to the same period in 2023 due to slow-moving inventory as a result of the macroeconomic factors noted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 decreased by 11.8 percentage points for the three months ended September 30, 2024, and by 12.7 percentage points for the nine months ended September 30, 2024, as compared to the same periods in 2023. The decreases are primarily due to an increase in the Company’s inventory reserves due to slow-moving inventory, lower sales volume due to the unfavorable macroeconomic and market conditions noted above and sales promotions and discounts related to the Company’s GO ESS product 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18"/>
        <w:gridCol w:w="146"/>
        <w:gridCol w:w="196"/>
        <w:gridCol w:w="511"/>
        <w:gridCol w:w="256"/>
        <w:gridCol w:w="146"/>
        <w:gridCol w:w="196"/>
        <w:gridCol w:w="511"/>
        <w:gridCol w:w="256"/>
        <w:gridCol w:w="146"/>
        <w:gridCol w:w="196"/>
        <w:gridCol w:w="196"/>
        <w:gridCol w:w="146"/>
        <w:gridCol w:w="146"/>
        <w:gridCol w:w="146"/>
        <w:gridCol w:w="331"/>
        <w:gridCol w:w="256"/>
        <w:gridCol w:w="146"/>
        <w:gridCol w:w="196"/>
        <w:gridCol w:w="511"/>
        <w:gridCol w:w="256"/>
        <w:gridCol w:w="146"/>
        <w:gridCol w:w="196"/>
        <w:gridCol w:w="511"/>
        <w:gridCol w:w="256"/>
        <w:gridCol w:w="146"/>
        <w:gridCol w:w="196"/>
        <w:gridCol w:w="376"/>
        <w:gridCol w:w="146"/>
        <w:gridCol w:w="146"/>
        <w:gridCol w:w="146"/>
        <w:gridCol w:w="331"/>
        <w:gridCol w:w="301"/>
      </w:tblGrid>
      <w:tr>
        <w:trPr/>
        <w:tc>
          <w:tcPr>
            <w:tcW w:w="2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shd w:fill="FFFFFF" w:val="clear"/>
            <w:vAlign w:val="center"/>
          </w:tcPr>
          <w:p>
            <w:pPr>
              <w:pStyle w:val="TableContents"/>
              <w:bidi w:val="0"/>
              <w:spacing w:before="0" w:after="283"/>
              <w:jc w:val="center"/>
              <w:rPr/>
            </w:pPr>
            <w:r>
              <w:rPr/>
              <w:t> </w:t>
            </w:r>
          </w:p>
        </w:tc>
      </w:tr>
      <w:tr>
        <w:trPr/>
        <w:tc>
          <w:tcPr>
            <w:tcW w:w="2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remained constant for the three months ended September 30, 2024, as compared to the same period in 2023.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increased by $0.5 million or 7.7% for the nine months ended September 30, 2024, as compared to the same period in 2023. The increase was primarily driven by an increase in consulting and facility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amount of research and development expenses may fluctuate from period to period due to differing levels and stages of development activity.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and Marketing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3"/>
        <w:gridCol w:w="146"/>
        <w:gridCol w:w="196"/>
        <w:gridCol w:w="511"/>
        <w:gridCol w:w="256"/>
        <w:gridCol w:w="146"/>
        <w:gridCol w:w="196"/>
        <w:gridCol w:w="511"/>
        <w:gridCol w:w="256"/>
        <w:gridCol w:w="146"/>
        <w:gridCol w:w="196"/>
        <w:gridCol w:w="571"/>
        <w:gridCol w:w="166"/>
        <w:gridCol w:w="146"/>
        <w:gridCol w:w="146"/>
        <w:gridCol w:w="481"/>
        <w:gridCol w:w="268"/>
        <w:gridCol w:w="146"/>
        <w:gridCol w:w="196"/>
        <w:gridCol w:w="601"/>
        <w:gridCol w:w="256"/>
        <w:gridCol w:w="146"/>
        <w:gridCol w:w="196"/>
        <w:gridCol w:w="601"/>
        <w:gridCol w:w="256"/>
        <w:gridCol w:w="146"/>
        <w:gridCol w:w="196"/>
        <w:gridCol w:w="571"/>
        <w:gridCol w:w="166"/>
        <w:gridCol w:w="146"/>
        <w:gridCol w:w="146"/>
        <w:gridCol w:w="481"/>
        <w:gridCol w:w="314"/>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4" w:type="dxa"/>
            <w:tcBorders/>
            <w:shd w:fill="FFFFFF" w:val="clear"/>
            <w:vAlign w:val="center"/>
          </w:tcPr>
          <w:p>
            <w:pPr>
              <w:pStyle w:val="TableContents"/>
              <w:bidi w:val="0"/>
              <w:spacing w:before="0" w:after="283"/>
              <w:jc w:val="center"/>
              <w:rPr/>
            </w:pPr>
            <w:r>
              <w:rPr/>
              <w:t> </w:t>
            </w:r>
          </w:p>
        </w:tc>
      </w:tr>
      <w:tr>
        <w:trPr/>
        <w:tc>
          <w:tcPr>
            <w:tcW w:w="1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decreased by $1.2 million or 21.8% for the three months ended September 30, 2024, as compared to the same period in 2023. The decrease is attributed to reduced payroll and travel expenses resulting from a lower headcount during the three months ended September 30, 2024, compared to the same period in 2023.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decreased by $2.5 million or 16.1% for the nine months ended September 30, 2024, as compared to the same period in 2023. The decrease is attributed to reduced payroll and travel expenses resulting from a lower headcount during the nine months ended September 30, 2024, compared to the same period in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1"/>
        <w:gridCol w:w="146"/>
        <w:gridCol w:w="196"/>
        <w:gridCol w:w="511"/>
        <w:gridCol w:w="256"/>
        <w:gridCol w:w="146"/>
        <w:gridCol w:w="196"/>
        <w:gridCol w:w="511"/>
        <w:gridCol w:w="256"/>
        <w:gridCol w:w="146"/>
        <w:gridCol w:w="196"/>
        <w:gridCol w:w="571"/>
        <w:gridCol w:w="166"/>
        <w:gridCol w:w="146"/>
        <w:gridCol w:w="146"/>
        <w:gridCol w:w="481"/>
        <w:gridCol w:w="264"/>
        <w:gridCol w:w="146"/>
        <w:gridCol w:w="196"/>
        <w:gridCol w:w="601"/>
        <w:gridCol w:w="256"/>
        <w:gridCol w:w="146"/>
        <w:gridCol w:w="196"/>
        <w:gridCol w:w="601"/>
        <w:gridCol w:w="256"/>
        <w:gridCol w:w="146"/>
        <w:gridCol w:w="196"/>
        <w:gridCol w:w="571"/>
        <w:gridCol w:w="166"/>
        <w:gridCol w:w="146"/>
        <w:gridCol w:w="146"/>
        <w:gridCol w:w="481"/>
        <w:gridCol w:w="310"/>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0" w:type="dxa"/>
            <w:tcBorders/>
            <w:shd w:fill="FFFFFF" w:val="clear"/>
            <w:vAlign w:val="center"/>
          </w:tcPr>
          <w:p>
            <w:pPr>
              <w:pStyle w:val="TableContents"/>
              <w:bidi w:val="0"/>
              <w:spacing w:before="0" w:after="283"/>
              <w:jc w:val="center"/>
              <w:rPr/>
            </w:pPr>
            <w:r>
              <w:rPr/>
              <w:t> </w:t>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6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3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decreased by $2.0 million or 26.8% for the three months ended September 30, 2024, as compared to the same period in 2023. The decrease is primarily related to a decline of bad debt expense associated with the Company’s accounts receivable for the three months ended September 30, 2024, compared to the same period in 2023.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decreased by $4.9 million or 23.8% for the nine months ended September 30, 2024, as compared to the same period in 2023. The decrease is primarily related to a decline of bad debt expense associated with the Company’s accounts receivable for the nine months ended September 30, 2024, compared to the same period in 2023, in addition to a decline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expense which were higher in 2023 due to the Business Combination that occurred in May 2023, and is partially offset by an increase in personnel-related stock-based compensation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Expenses,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3"/>
        <w:gridCol w:w="146"/>
        <w:gridCol w:w="196"/>
        <w:gridCol w:w="511"/>
        <w:gridCol w:w="166"/>
        <w:gridCol w:w="146"/>
        <w:gridCol w:w="196"/>
        <w:gridCol w:w="661"/>
        <w:gridCol w:w="166"/>
        <w:gridCol w:w="146"/>
        <w:gridCol w:w="196"/>
        <w:gridCol w:w="601"/>
        <w:gridCol w:w="166"/>
        <w:gridCol w:w="146"/>
        <w:gridCol w:w="146"/>
        <w:gridCol w:w="571"/>
        <w:gridCol w:w="243"/>
        <w:gridCol w:w="146"/>
        <w:gridCol w:w="196"/>
        <w:gridCol w:w="511"/>
        <w:gridCol w:w="166"/>
        <w:gridCol w:w="146"/>
        <w:gridCol w:w="196"/>
        <w:gridCol w:w="661"/>
        <w:gridCol w:w="166"/>
        <w:gridCol w:w="146"/>
        <w:gridCol w:w="196"/>
        <w:gridCol w:w="601"/>
        <w:gridCol w:w="166"/>
        <w:gridCol w:w="146"/>
        <w:gridCol w:w="146"/>
        <w:gridCol w:w="571"/>
        <w:gridCol w:w="289"/>
      </w:tblGrid>
      <w:tr>
        <w:trPr/>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September 30,</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r>
          </w:p>
        </w:tc>
        <w:tc>
          <w:tcPr>
            <w:tcW w:w="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r>
          </w:p>
        </w:tc>
        <w:tc>
          <w:tcPr>
            <w:tcW w:w="289" w:type="dxa"/>
            <w:tcBorders/>
            <w:shd w:fill="FFFFFF" w:val="clear"/>
            <w:vAlign w:val="center"/>
          </w:tcPr>
          <w:p>
            <w:pPr>
              <w:pStyle w:val="TableContents"/>
              <w:bidi w:val="0"/>
              <w:spacing w:before="0" w:after="283"/>
              <w:jc w:val="center"/>
              <w:rPr/>
            </w:pPr>
            <w:r>
              <w:rPr/>
              <w:t> </w:t>
            </w:r>
          </w:p>
        </w:tc>
      </w:tr>
      <w:tr>
        <w:trPr/>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of preferred stock warrant and contingent shares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(50,498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debt extinguishment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expenses,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preferred stock warrant and contingent shares liability increased by $3.0 million or 100.1% for the three months ended September 30, 2024, as compared to the same period in 2023. The Company revalues the contingent shares at each reporting period based on the Company's share price as of the revaluation date. For the three months ended September 30, 2024, the stock price experienced a less significant change, coupled with a smaller base of shares to revalue, compared to the same period in 2023. The final tranche of the contingent shares was released on July 25, 2024. See Note 4, “Acquisition of Foresight Energy, Ltd.,” of the notes to condensed consolidated financial statements included in Part I, Item 1 of this Quarterly Report on Form 10-Q for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change in fair value of derivative liability for the three months ended September 30, 2023, is related to the Convertible Promissory Note which contained conversion options that met the requirements for separate accounting and was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hAnsi="Times New Roman"/>
          <w:i/>
          <w:color w:val="000000"/>
          <w:sz w:val="20"/>
        </w:rPr>
        <w:t>ASC Topic 815, Derivatives and Hedging</w:t>
      </w:r>
      <w:r>
        <w:rPr>
          <w:rFonts w:ascii="Times New Roman" w:hAnsi="Times New Roman"/>
          <w:color w:val="000000"/>
          <w:sz w:val="20"/>
        </w:rPr>
        <w:t>. See Note 9, “Long-Term Debt,” of the notes to condensed consolidated financial statements included in Part I, Item 1 of this Quarterly Report on Form 10-Q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expense remained constant for the three months ended September 30, 2024, as compared to the same period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decreased $0.5 million or 74.2% for the three months ended September 30, 2024, as compared to the same period in 2023. This is primarily due to a decrease in interest income from the Company’s marketable securities, as the underlying asset base generating interest income decreased during the three months ended September 30, 2024, compared to the same period in 2023.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preferred stock warrant and contingent shares liability decreased by $0.3 million or 206.3% for the nine months ended September 30, 2024, as compared to the same period in 2023, primarily due to a decrease in mark-to-market expense associated with the contingent shares related to the fSight acquisition. The final tranche of the contingent shares was released on July 25, 2024. See Note 4, “Acquisition of Foresight Energy, Ltd.,” of the notes to condensed consolidated financial statements included in Part I, Item 1 of this Quarterly Report on Form 10-Q for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change in fair value of derivative liability for the nine months ended September 30, 2023, is related to the Convertible Promissory Note which contained conversion options that met the requirements for separate accounting and was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hAnsi="Times New Roman"/>
          <w:i/>
          <w:color w:val="000000"/>
          <w:sz w:val="20"/>
        </w:rPr>
        <w:t>ASC Topic 815, Derivatives and Hedging</w:t>
      </w:r>
      <w:r>
        <w:rPr>
          <w:rFonts w:ascii="Times New Roman" w:hAnsi="Times New Roman"/>
          <w:color w:val="000000"/>
          <w:sz w:val="20"/>
        </w:rPr>
        <w:t>. See Note 9, “Long-Term Debt,” of the notes to condensed consolidated financial statements included in Part I, Item 1 of this Quarterly Report on Form 10-Q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loss on debt extinguishment for the nine months ended September 30, 2023, is primarily related to the repayment of our Series 2022-1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increased by $3.3 million or 63.1% for the nine months ended September 30, 2024, as compared to the same period in 2023. This increase is primarily due to the timing of the amortization of the debt discount of $23.5 million that was recorded upon the bifurcation of the conversion options at the time of the Business Combination. Please see Note 9, “Long-Term Debt,” of the notes to condensed consolidated financial statements included in Part I, Item 1 of this Quarterly Report on Form 10-Q for additional information on the conversion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decreased $1.5 million or 79.7% for the nine months ended September 30, 2024, as compared to the same period in 2023. This is primarily due to a decrease in interest income from the Company’s marketable securities, as the underlying asset base generating interest income decreased during the nine months ended September 30, 2024, compared to the same period in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78"/>
        <w:gridCol w:w="146"/>
        <w:gridCol w:w="211"/>
        <w:gridCol w:w="346"/>
        <w:gridCol w:w="146"/>
        <w:gridCol w:w="146"/>
        <w:gridCol w:w="211"/>
        <w:gridCol w:w="676"/>
        <w:gridCol w:w="146"/>
        <w:gridCol w:w="146"/>
        <w:gridCol w:w="211"/>
        <w:gridCol w:w="736"/>
        <w:gridCol w:w="166"/>
        <w:gridCol w:w="146"/>
        <w:gridCol w:w="146"/>
        <w:gridCol w:w="631"/>
        <w:gridCol w:w="308"/>
        <w:gridCol w:w="146"/>
        <w:gridCol w:w="211"/>
        <w:gridCol w:w="316"/>
        <w:gridCol w:w="146"/>
        <w:gridCol w:w="146"/>
        <w:gridCol w:w="211"/>
        <w:gridCol w:w="316"/>
        <w:gridCol w:w="146"/>
        <w:gridCol w:w="146"/>
        <w:gridCol w:w="211"/>
        <w:gridCol w:w="376"/>
        <w:gridCol w:w="166"/>
        <w:gridCol w:w="146"/>
        <w:gridCol w:w="146"/>
        <w:gridCol w:w="526"/>
        <w:gridCol w:w="354"/>
      </w:tblGrid>
      <w:tr>
        <w:trPr/>
        <w:tc>
          <w:tcPr>
            <w:tcW w:w="1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54" w:type="dxa"/>
            <w:tcBorders/>
            <w:shd w:fill="FFFFFF" w:val="clear"/>
            <w:vAlign w:val="center"/>
          </w:tcPr>
          <w:p>
            <w:pPr>
              <w:pStyle w:val="TableContents"/>
              <w:bidi w:val="0"/>
              <w:spacing w:before="0" w:after="283"/>
              <w:jc w:val="center"/>
              <w:rPr/>
            </w:pPr>
            <w:r>
              <w:rPr/>
              <w:t> </w:t>
            </w:r>
          </w:p>
        </w:tc>
      </w:tr>
      <w:tr>
        <w:trPr/>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2024, and 2023</w:t>
      </w:r>
    </w:p>
    <w:p>
      <w:pPr>
        <w:pStyle w:val="TextBody"/>
        <w:bidi w:val="0"/>
        <w:spacing w:before="120" w:after="283"/>
        <w:jc w:val="both"/>
        <w:rPr>
          <w:rFonts w:ascii="Times New Roman" w:hAnsi="Times New Roman"/>
          <w:sz w:val="20"/>
        </w:rPr>
      </w:pPr>
      <w:r>
        <w:rPr>
          <w:rFonts w:ascii="Times New Roman" w:hAnsi="Times New Roman"/>
          <w:color w:val="000000"/>
          <w:sz w:val="20"/>
        </w:rPr>
        <w:t>Income tax expense decreased $11.0 million for the three months ended September 30, 2024</w:t>
      </w:r>
      <w:r>
        <w:rPr>
          <w:rFonts w:ascii="Times New Roman" w:hAnsi="Times New Roman"/>
          <w:i/>
          <w:color w:val="000000"/>
          <w:sz w:val="20"/>
        </w:rPr>
        <w:t xml:space="preserve">, </w:t>
      </w:r>
      <w:r>
        <w:rPr>
          <w:rFonts w:ascii="Times New Roman" w:hAnsi="Times New Roman"/>
          <w:color w:val="000000"/>
          <w:sz w:val="20"/>
        </w:rPr>
        <w:t>compared to the same period in 2023, which was primarily due to recording a valuation allowance against the Company’s U.S. federal net deferred tax asset during 2023. Please see Note 15, “Income Taxes,” of the notes to condensed consolidated financial statements included in Part I, Item 1 of this Quarterly Report on Form 10-Q for additional information on the valuation allowance.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 expense remained constant for the nine months ended September 30, 2024, as compared to the same period in 2023.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principal sources of liquidity are cash, cash equivalents and marketable securities. As of September 30, 2024, the Company held $19.5 million in cash, cash equivalents and marketable securities which were held primarily for working capital purposes. Our working capital, which we define as current assets less current liabilities, decreased by $19.5 million to $58.8 million as of September 30, 2024, compared to $78.3 million as of December 31, 2023. The decrease in working capital during this period is primarily attributable to lower marketable securities and inventory balances and is partially offset by a decrease in accounts payable and accrued expenses and other current liabilities. Revenues stabilized on a sequential quarter basis over the first three quarters of 2024 but declined on a quarter over quarter and year over year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been actively working on reducing our inventory levels, these efforts will depend on our ability to increase future quarterly revenues, maintain a minimal level of inventory purchases with suppliers, and our ability to recover the book value of inventory. Given the macroeconomic factors noted above, the Company recognized charges of $3.4 million and $4.0 million to write down inventories to their estimated net realizable value for the three and nine months ended September 30, 2024, respectively. Through the first three quarters of 2024, we reduced our inventory levels by $14.6 million from December 31, 2023, primarily due to sales, and expect lower inventory levels and positive working capital cash conversion throughout the remainder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cash position is sufficient to meet our capital and liquidity requirements for at least the next 12 months from the filing date of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However, as of September 30, 2024, the Company had $50.0 million of aggregate principal borrowings outstanding on its Convertible Promissory Note. The principal amount of the Convertible Promissory Note is due at the maturity date of January 9, 2026. As of September 30, 2024, the Company does not have sufficient cash, cash equivalents and marketable securities to repay this obligation.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future, our ability to sustain operations, pay outstanding obligations, including repayment of the Convertible Promissory Note when due, and invest in new technologies will likely necessitate that we seek additional equity or debt financing. Our capital needs will be influenced by several factors, including the amount of our revenue and our revenue growth rate, the success of our current products and services and future product development and capital investments, and the timing and extent of spending to support further sales and marketing and research and development efforts. In addition, we have incurred and expect to continue to incur additional costs as a result of operating as a public company. The Company intends to secure additional funding from either public or private financing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sources, however as the plans are outside of management’s control, the Company cannot ensure they will be effectively implemented. In the event that additional financing is required from outside sources, we cannot be certain that any additional financing will be available to us on acceptable terms, or at all. If we are required but unable to raise additional capital, meet our obligations, or generate cash flows to sustain our operations, meet our outstanding obligations, including repayment of the Convertible Promissory Note when due, or expand our business, our business, operating results, and financial condition could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4321"/>
        <w:gridCol w:w="146"/>
        <w:gridCol w:w="248"/>
        <w:gridCol w:w="866"/>
        <w:gridCol w:w="195"/>
        <w:gridCol w:w="171"/>
        <w:gridCol w:w="248"/>
        <w:gridCol w:w="86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vAlign w:val="center"/>
          </w:tcPr>
          <w:p>
            <w:pPr>
              <w:pStyle w:val="TableContents"/>
              <w:bidi w:val="0"/>
              <w:spacing w:before="0" w:after="283"/>
              <w:jc w:val="center"/>
              <w:rPr/>
            </w:pPr>
            <w:r>
              <w:rPr/>
              <w:t> </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(13,407</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2023 Annual Report.</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cash flows consists primarily of net (loss) income adjusted for certain non-cash items and changes in operating assets and liabilities. Cash used in operating activities decreased by $16.0 million in the nine months ended September 30, 2024, as compared to the same period in 2023. This is primarily due to a decrease in purchases of inventory for the nine months ended September 30, 2024, compared to the same period in 2023 as a result of the negative macroeconomic factors that are noted above.</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investing activities was $18.3 million for the nine months ended September 30, 2024, which is primarily attributable to the sale and maturities of marketable securities and was partially offset by the purchase of additional marketable securities and property and equipment. Net cash used in investing activities was $40.9 million for the nine months ended September 30, 2023, which is primarily attributable to the purchase of marketable securities and property and equipment and was partially offset by the sale and maturities of marketable securities.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decreased by $34.7 million in the nine months ended September 30, 2024, compared to the same period in 2023. For the nine months ended September 30, 2024, the Company received proceeds of $0.3 million from the exercise of stock options by employees. For the nine months ended September 30, 2023, the Company received proceeds of $50.0 million from the Convertible Promissory Note, proceeds of $3.7 million from the redemptions of common stock warrants and proceeds of $2.2 million from the Business Combination, which was partially offset by the $20.8 million repayment of the Series 2022-1 Notes.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primarily consist of our Convertible Promissory Note, obligations under operating leases and inventory component purchases. As of September 30, 2024, there have been no material changes from our disclosure in our 2023 Annual Report. For more information on our future minimum operating leases, see Note 13, “Leases” and for more information on our Convertible Promissory Notes and other related debt, see Note 9, “Long-Term Debt,” of the notes to condensed consolidated financial statements included in Part I, Item 1 of this Quarterly Report on Form 10-Q.</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periods presented, the Company did not have any off-balance sheet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period ended September 30, 2024, there have been no material changes to our critical accounting estimates from the information reported in our 2023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 </w:t>
      </w:r>
    </w:p>
    <w:p>
      <w:pPr>
        <w:pStyle w:val="TextBody"/>
        <w:bidi w:val="0"/>
        <w:spacing w:before="360" w:after="283"/>
        <w:jc w:val="both"/>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TextBody"/>
        <w:bidi w:val="0"/>
        <w:spacing w:before="360" w:after="283"/>
        <w:jc w:val="both"/>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September 30, 2024, as defined in Rules 13a-15(e) and 15d-15(e) under the Securities Exchange Act of 1934, as amended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September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September 30, 2024,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1" w:name="item_1_legal_proceedings"/>
      <w:bookmarkEnd w:id="11"/>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TextBody"/>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risk factors disclosed in the section entitled “Risk Factors” in Part I, Item 1A, of the Company’s 2023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 except the following:</w:t>
      </w:r>
    </w:p>
    <w:p>
      <w:pPr>
        <w:pStyle w:val="TextBody"/>
        <w:bidi w:val="0"/>
        <w:spacing w:before="360" w:after="120"/>
        <w:jc w:val="left"/>
        <w:rPr>
          <w:rFonts w:ascii="Times New Roman" w:hAnsi="Times New Roman"/>
          <w:sz w:val="20"/>
        </w:rPr>
      </w:pPr>
      <w:r>
        <w:rPr>
          <w:rFonts w:ascii="Times New Roman" w:hAnsi="Times New Roman"/>
          <w:b/>
          <w:i/>
          <w:color w:val="000000"/>
          <w:sz w:val="20"/>
        </w:rPr>
        <w:t>Future elections and political uncertainty may have an adverse impact on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in the Company’s 2023 Annual Report, we are subject to various legal, compliance and regulatory risks in numerous jurisdictions throughout the world. These risks include the availability of economic incentives in certain geographic regions in which the Company operates. Future elections in various countries, including the United States and throughout Europe, may further increase these risks. The elections could result in shifts in domestic, foreign, and economic policy approaches, and uncertainty with respect to, regulation and legislation directly affecting the Company and our business environment, including tax incentives or potential tariffs that could directly affect the solar industry. Actions taken by new administrations may have an adverse impact on our industry and business or may indirectly affect us because of adverse impacts on our customers, suppliers and manufacturers, which could result in a material adverse effect on our business, financial condition, results of operations and future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a history of generating net losses, and if we are unable to achieve an adequate level of revenue or grow our revenue or manage our expenses, we may not have sufficient cash to fund our future operations or achieve or maintain profitability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incurring net losses, and we may not achieve or maintain profitability in the future. We experienced net losses of $1.0 million and $7.0 million for the years ended December 31, 2023, and 2022, respectively. As of December 31, 2023, we had an accumulated deficit of $75.8 million. In the second half of 2023, we also experienced higher operating losses than in previous quarters, primarily as a result of higher channel inventories, order cancellations and a slowdown in the macroeconomic environment. As a result, we cannot accurately predict when or whether we will reach or maintain profitability. We expect our costs will increase over time and our losses to continue as we expect to continue to invest significant additional funds in expanding our business, sales, and marketing activities, and research and development as we continue to develop our products and services, and maintain high levels of customer support, each of which we consider critical to our continued success. We also expect to incur additional general and administrative expenses as we continue to support our operations as a public company. Historically, our costs have increased over the years due to these factors, and we expect to continue to incur increasing costs to support our anticipated future growth. If we are unable to generate adequate revenue or grow our revenue and manage our expenses, we may continue to incur significant losses and may not have sufficient cash to fund our future operations or achieve or maintain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challenging macroeconomic conditions outlined above, the Company has taken measures to preserve liquidity, including the strategic decision to restructure our operations and reduce our workforce by 15% in December 2023. The Company closely monitors these conditions and may need to reduce operational expenditures further.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make decisions that could adversely affect our short-term operating results if we believe those decisions improve the experiences of our customers and if we believe such decisions will improve our operating results over the long term. Our decisions may not be consistent with the expectations of investors and may not produce the short-term or long-term benefits that we expect, in which case our business may be materially and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likely require additional capital, which additional financing may result in restrictions on our operations or substantial dilution to our stockholders, to sustain and grow our business, and this capital might not be available on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funded our operations since inception primarily through financing transactions such as the issuance of bonds, convertible promissory notes and loans, and sales of convertible preferred stock. We cannot be certain when or if our operations will generate sufficient cash to fully fund our ongoing operations, service our indebtedness, including the Convertible Promissory Note, or invest in the growth of our business. We intend to continue to make investments to support our business, which may require us to engage in equity or debt financings to secure additional funds. Additional financing may not be available on terms favorable to us, if at all. In particular, the current disruption in the global financial markets may reduce our ability to access capital and negatively affect our liquidity in the future. The Company intends to secure additional funding from either public or private financing sources, however as the plans are outside of management’s control, the Company cannot ensure they will be effectively implemented. If adequate funds are not available on acceptable terms, or at all, we may be unable to fully fund our ongoing operations, service our indebtedness, including the Convertible Promissory Note, or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our stockholders may experience substantial dilution. We may sell common stock, convertible securities or other equity securities in one or more transactions at a price per share that is less than the price per share paid by current stockholders. If we sell common stock, convertible securities, or other equity securities in more than one transaction, stockholders may be further 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restrict our ability to incur additional indebtedness and impair our ability to satisfy our obligations under the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indebtedness could have material adverse consequences for our security holders and our business, results of operations and financial condition by,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diluting the interests of our existing security holders as a result of issuing common stock upon conversion of the Convertible Note;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 includes financially restrictive covenants that, among other things, limit our ability to incur additional debt. Without the consent of the holder of the Convertible Note, we may not create, incur, assume, guarantee, or be or remain liable with respect to any senior indebtedness exceeding the greater of (i) $150,000,000 in the aggregate, (ii) an amount equal to 500% of Adjusted EBITDA for the period of 12 consecutive months ending on the last day of the fiscal month ended most recently prior to the date of incurrence of such senior indebtedness or (iii) the amount of senior indebtedness incurred by the Company pursuant to one or more asset-based credit facilities, working capital facilities, or receivable facilities secured only by liens on our or our subsidiaries’ assets and property, plus interest accruing thereon and the termination value of interest rate hedges or currency swaps in respect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 matures on January 9, 2026. At maturity, unless converted at the election of the holder or redeemed by us with the consent of the holder, we will need to repay the principal amount under the Convertible Note. As of September 30, 2024, the conversion price of the Convertible Promissory Note is higher than the price at which our shares of common stock have traded on Nasdaq since August 2023, therefore we do not currently expect that the holder will elect to convert the Convertible Promissory Note into shares of our common stock. As of September 30, 2024, we have not generated sufficient funds, and we may not otherwise be able to generate sufficient funds or maintain sufficient cash reserves, to pay amounts due under our indebtedness, including the Convertible Note, and our cash needs may increase in the future.</w:t>
      </w:r>
    </w:p>
    <w:p>
      <w:pPr>
        <w:pStyle w:val="TextBody"/>
        <w:bidi w:val="0"/>
        <w:spacing w:before="360" w:after="283"/>
        <w:jc w:val="both"/>
        <w:rPr>
          <w:rFonts w:ascii="Times New Roman" w:hAnsi="Times New Roman"/>
          <w:b/>
          <w:color w:val="000000"/>
          <w:sz w:val="20"/>
        </w:rPr>
      </w:pPr>
      <w:bookmarkStart w:id="13" w:name="item_2_unregistered_sales_of_equity"/>
      <w:bookmarkEnd w:id="13"/>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4" w:name="tem_3_defaults_upon_senior_securities"/>
      <w:bookmarkEnd w:id="14"/>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3"/>
        <w:gridCol w:w="146"/>
        <w:gridCol w:w="8556"/>
      </w:tblGrid>
      <w:tr>
        <w:trPr/>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r>
      <w:tr>
        <w:trPr/>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6" w:type="dxa"/>
            <w:tcBorders/>
            <w:shd w:fill="FFFFFF" w:val="clear"/>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FF"/>
                  <w:sz w:val="20"/>
                  <w:u w:val="single"/>
                </w:rPr>
                <w:t>Second Amended and Restated Certificate of Incorporation of Tigo Energy, Inc. (incorporated by reference</w:t>
              </w:r>
            </w:hyperlink>
          </w:p>
          <w:p>
            <w:pPr>
              <w:pStyle w:val="TableContents"/>
              <w:bidi w:val="0"/>
              <w:spacing w:before="0" w:after="283"/>
              <w:jc w:val="left"/>
              <w:rPr/>
            </w:pPr>
            <w:hyperlink r:id="rId3">
              <w:r>
                <w:rPr>
                  <w:rStyle w:val="InternetLink"/>
                  <w:rFonts w:ascii="Times New Roman" w:hAnsi="Times New Roman"/>
                  <w:color w:val="0000FF"/>
                  <w:sz w:val="20"/>
                  <w:u w:val="single"/>
                </w:rPr>
                <w:t>to Exhibit 3.1 to the Company’s Current Report on Form 8-K, filed with the SEC on May 30, 2023).</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6" w:type="dxa"/>
            <w:tcBorders/>
            <w:shd w:fill="FFFFFF" w:val="clear"/>
            <w:tcMar>
              <w:top w:w="0" w:type="dxa"/>
              <w:left w:w="0" w:type="dxa"/>
              <w:bottom w:w="0" w:type="dxa"/>
              <w:right w:w="0" w:type="dxa"/>
            </w:tcMar>
            <w:vAlign w:val="center"/>
          </w:tcPr>
          <w:p>
            <w:pPr>
              <w:pStyle w:val="TableContents"/>
              <w:bidi w:val="0"/>
              <w:jc w:val="left"/>
              <w:rPr/>
            </w:pPr>
            <w:hyperlink r:id="rId4">
              <w:r>
                <w:rPr>
                  <w:rStyle w:val="InternetLink"/>
                  <w:rFonts w:ascii="Times New Roman" w:hAnsi="Times New Roman"/>
                  <w:color w:val="0000FF"/>
                  <w:sz w:val="20"/>
                  <w:u w:val="single"/>
                </w:rPr>
                <w:t>Amended and Restated Bylaws of Tigo Energy, Inc. (incorporated by reference to Exhibit 3.2 to the</w:t>
              </w:r>
            </w:hyperlink>
          </w:p>
          <w:p>
            <w:pPr>
              <w:pStyle w:val="TableContents"/>
              <w:bidi w:val="0"/>
              <w:spacing w:before="0" w:after="283"/>
              <w:jc w:val="left"/>
              <w:rPr/>
            </w:pPr>
            <w:hyperlink r:id="rId5">
              <w:r>
                <w:rPr>
                  <w:rStyle w:val="InternetLink"/>
                  <w:rFonts w:ascii="Times New Roman" w:hAnsi="Times New Roman"/>
                  <w:color w:val="0000FF"/>
                  <w:sz w:val="20"/>
                  <w:u w:val="single"/>
                </w:rPr>
                <w:t>Company’s Current Report on Form 8-K, filed with the SEC on May 30, 2023).</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10_1.htm">
              <w:r>
                <w:rPr>
                  <w:rStyle w:val="InternetLink"/>
                  <w:rFonts w:ascii="Times New Roman" w:hAnsi="Times New Roman"/>
                  <w:color w:val="0000FF"/>
                  <w:sz w:val="20"/>
                  <w:u w:val="single"/>
                </w:rPr>
                <w:t>Form of Performance Stock Unit Award Agreement.</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10_2.htm">
              <w:r>
                <w:rPr>
                  <w:rStyle w:val="InternetLink"/>
                  <w:rFonts w:ascii="Times New Roman" w:hAnsi="Times New Roman"/>
                  <w:color w:val="0000FF"/>
                  <w:sz w:val="20"/>
                  <w:u w:val="single"/>
                </w:rPr>
                <w:t>Separation Agreement and Release by and between Jeffrey Sullivan and Tigo Energy, Inc.</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1_1.htm">
              <w:r>
                <w:rPr>
                  <w:rStyle w:val="InternetLink"/>
                  <w:rFonts w:ascii="Times New Roman" w:hAnsi="Times New Roman"/>
                  <w:color w:val="0000FF"/>
                  <w:sz w:val="20"/>
                  <w:u w:val="single"/>
                </w:rPr>
                <w:t>Certification of Chief Executive Officer pursuant to Rule 13a-14(a)/15d-14(a)</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1_2.htm">
              <w:r>
                <w:rPr>
                  <w:rStyle w:val="InternetLink"/>
                  <w:rFonts w:ascii="Times New Roman" w:hAnsi="Times New Roman"/>
                  <w:color w:val="0000FF"/>
                  <w:sz w:val="20"/>
                  <w:u w:val="single"/>
                </w:rPr>
                <w:t>Certification of Chief Financial Officer pursuant to Rule 13a-14(a)/15d-14(a)</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2_1.htm">
              <w:r>
                <w:rPr>
                  <w:rStyle w:val="InternetLink"/>
                  <w:rFonts w:ascii="Times New Roman" w:hAnsi="Times New Roman"/>
                  <w:color w:val="0000FF"/>
                  <w:sz w:val="20"/>
                  <w:u w:val="single"/>
                </w:rPr>
                <w:t>Certification of Chief Executive Officer pursuant to Rule 13a-14(b)/15d-14(b)</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2_2.htm">
              <w:r>
                <w:rPr>
                  <w:rStyle w:val="InternetLink"/>
                  <w:rFonts w:ascii="Times New Roman" w:hAnsi="Times New Roman"/>
                  <w:color w:val="0000FF"/>
                  <w:sz w:val="20"/>
                  <w:u w:val="single"/>
                </w:rPr>
                <w:t>Certification of Chief Financial Officer pursuant to Rule 13a-14(b)/15d-14(b)</w:t>
              </w:r>
            </w:hyperlink>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(formatted as Inline XBRL and contained in Exhibit 101) </w:t>
            </w:r>
          </w:p>
        </w:tc>
      </w:tr>
      <w:tr>
        <w:trPr/>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Furnished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Certain confidential information contained in this document has been redacted in accordance with Item 601(b)(10)(iv) of Regulation S-K.</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9" w:name="tygo-ex10_1.htm"/>
      <w:bookmarkStart w:id="20" w:name="kstygoex10_1"/>
      <w:bookmarkEnd w:id="19"/>
      <w:bookmarkEnd w:id="20"/>
      <w:r>
        <w:rPr>
          <w:rFonts w:ascii="Times New Roman" w:hAnsi="Times New Roman"/>
          <w:b/>
          <w:color w:val="000000"/>
          <w:sz w:val="24"/>
        </w:rPr>
        <w:t>Exhibit 10.1</w:t>
      </w:r>
      <w:r>
        <w:br w:type="page"/>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CERTAIN INFORMATION IN THIS EXHIBIT HAS BEEN REDACTED BECAUSE IT IS BOTH (I) NOT MATERIAL AND (II) INFORMATION THAT THE REGISTRANT TREATS AS PRIVATE OR CONFIDENTIAL. [***] INDICATES THAT INFORMATION HAS BEEN REDACTED.</w:t>
      </w:r>
    </w:p>
    <w:p>
      <w:pPr>
        <w:pStyle w:val="TextBody"/>
        <w:bidi w:val="0"/>
        <w:spacing w:before="0" w:after="24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TIGO ENERGY, INC.</w:t>
        <w:br/>
        <w:t>2023 INCENTIVE PLAN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PERFORMANCE STOCK UNIT AWARD GRANT NOTICE</w:t>
      </w:r>
    </w:p>
    <w:p>
      <w:pPr>
        <w:pStyle w:val="TextBody"/>
        <w:bidi w:val="0"/>
        <w:spacing w:before="0" w:after="240"/>
        <w:jc w:val="both"/>
        <w:rPr>
          <w:rFonts w:ascii="Times New Roman" w:hAnsi="Times New Roman"/>
          <w:sz w:val="20"/>
        </w:rPr>
      </w:pPr>
      <w:r>
        <w:rPr>
          <w:rFonts w:ascii="Times New Roman" w:hAnsi="Times New Roman"/>
          <w:color w:val="000000"/>
          <w:sz w:val="22"/>
        </w:rPr>
        <w:t>Tigo Energy,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pursuant to its 2023 Incentive Plan, as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hereby grants to the holder listed below (the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an award of performance vesting restricted stock units (“</w:t>
      </w:r>
      <w:r>
        <w:rPr>
          <w:rFonts w:ascii="Times New Roman" w:hAnsi="Times New Roman"/>
          <w:b/>
          <w:i/>
          <w:color w:val="000000"/>
          <w:sz w:val="22"/>
        </w:rPr>
        <w:t>Performance Stock Units</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b/>
          <w:i/>
          <w:color w:val="000000"/>
          <w:sz w:val="22"/>
        </w:rPr>
        <w:t>PSUs</w:t>
      </w:r>
      <w:r>
        <w:rPr>
          <w:rFonts w:ascii="Times New Roman" w:hAnsi="Times New Roman"/>
          <w:color w:val="000000"/>
          <w:sz w:val="20"/>
        </w:rPr>
        <w:t>”</w:t>
      </w:r>
      <w:r>
        <w:rPr>
          <w:rFonts w:ascii="Times New Roman" w:hAnsi="Times New Roman"/>
          <w:color w:val="000000"/>
          <w:sz w:val="22"/>
        </w:rPr>
        <w:t xml:space="preserve">). Each vested Performance Stock Unit represents the right to receive, in accordance with the Performance Stock Unit Award Agreement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one share of Common Stock (“</w:t>
      </w:r>
      <w:r>
        <w:rPr>
          <w:rFonts w:ascii="Times New Roman" w:hAnsi="Times New Roman"/>
          <w:b/>
          <w:i/>
          <w:color w:val="000000"/>
          <w:sz w:val="22"/>
        </w:rPr>
        <w:t>Share</w:t>
      </w:r>
      <w:r>
        <w:rPr>
          <w:rFonts w:ascii="Times New Roman" w:hAnsi="Times New Roman"/>
          <w:color w:val="000000"/>
          <w:sz w:val="20"/>
        </w:rPr>
        <w:t>”</w:t>
      </w:r>
      <w:r>
        <w:rPr>
          <w:rFonts w:ascii="Times New Roman" w:hAnsi="Times New Roman"/>
          <w:color w:val="000000"/>
          <w:sz w:val="22"/>
        </w:rPr>
        <w:t>). This award of Performance Stock Units is subject to all of the terms and conditions set forth herein and in the Agreement and the Plan, each of which are incorporated herein by reference. Unless otherwise defined herein, the terms defined in the Plan shall have the same defined meanings in this Performance Stock Unit Award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and the Agreement.</w:t>
      </w:r>
    </w:p>
    <w:tbl>
      <w:tblPr>
        <w:tblW w:w="10205" w:type="dxa"/>
        <w:jc w:val="left"/>
        <w:tblInd w:w="0" w:type="dxa"/>
        <w:tblLayout w:type="fixed"/>
        <w:tblCellMar>
          <w:top w:w="28" w:type="dxa"/>
          <w:left w:w="28" w:type="dxa"/>
          <w:bottom w:w="28" w:type="dxa"/>
          <w:right w:w="28" w:type="dxa"/>
        </w:tblCellMar>
      </w:tblPr>
      <w:tblGrid>
        <w:gridCol w:w="1558"/>
        <w:gridCol w:w="8647"/>
      </w:tblGrid>
      <w:tr>
        <w:trPr/>
        <w:tc>
          <w:tcPr>
            <w:tcW w:w="1558" w:type="dxa"/>
            <w:tcBorders/>
            <w:vAlign w:val="center"/>
          </w:tcPr>
          <w:p>
            <w:pPr>
              <w:pStyle w:val="TableContents"/>
              <w:bidi w:val="0"/>
              <w:spacing w:before="0" w:after="283"/>
              <w:jc w:val="left"/>
              <w:rPr>
                <w:sz w:val="4"/>
                <w:szCs w:val="4"/>
              </w:rPr>
            </w:pPr>
            <w:r>
              <w:rPr>
                <w:sz w:val="4"/>
                <w:szCs w:val="4"/>
              </w:rPr>
            </w:r>
          </w:p>
        </w:tc>
        <w:tc>
          <w:tcPr>
            <w:tcW w:w="8647" w:type="dxa"/>
            <w:tcBorders/>
            <w:vAlign w:val="center"/>
          </w:tcPr>
          <w:p>
            <w:pPr>
              <w:pStyle w:val="TableContents"/>
              <w:bidi w:val="0"/>
              <w:spacing w:before="0" w:after="283"/>
              <w:ind w:left="0" w:right="0" w:firstLine="7"/>
              <w:jc w:val="left"/>
              <w:rPr>
                <w:sz w:val="4"/>
                <w:szCs w:val="4"/>
              </w:rPr>
            </w:pPr>
            <w:r>
              <w:rPr>
                <w:sz w:val="4"/>
                <w:szCs w:val="4"/>
              </w:rPr>
            </w:r>
          </w:p>
        </w:tc>
      </w:tr>
      <w:tr>
        <w:trPr/>
        <w:tc>
          <w:tcPr>
            <w:tcW w:w="155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Participant:</w:t>
            </w:r>
          </w:p>
        </w:tc>
        <w:tc>
          <w:tcPr>
            <w:tcW w:w="8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[__________________________]</w:t>
            </w:r>
          </w:p>
        </w:tc>
      </w:tr>
      <w:tr>
        <w:trPr/>
        <w:tc>
          <w:tcPr>
            <w:tcW w:w="1558"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Grant Date:</w:t>
            </w:r>
          </w:p>
        </w:tc>
        <w:tc>
          <w:tcPr>
            <w:tcW w:w="8647"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[__________________________]</w:t>
            </w:r>
          </w:p>
        </w:tc>
      </w:tr>
      <w:tr>
        <w:trPr/>
        <w:tc>
          <w:tcPr>
            <w:tcW w:w="155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Target Number of PSUs:</w:t>
            </w:r>
          </w:p>
        </w:tc>
        <w:tc>
          <w:tcPr>
            <w:tcW w:w="8647" w:type="dxa"/>
            <w:tcBorders/>
            <w:tcMar>
              <w:top w:w="0" w:type="dxa"/>
              <w:left w:w="0" w:type="dxa"/>
              <w:bottom w:w="0" w:type="dxa"/>
              <w:right w:w="0" w:type="dxa"/>
            </w:tcMar>
            <w:vAlign w:val="center"/>
          </w:tcPr>
          <w:p>
            <w:pPr>
              <w:pStyle w:val="TableContents"/>
              <w:bidi w:val="0"/>
              <w:spacing w:before="0" w:after="283"/>
              <w:ind w:left="0" w:right="0" w:firstLine="7"/>
              <w:jc w:val="left"/>
              <w:rPr>
                <w:rFonts w:ascii="Times New Roman" w:hAnsi="Times New Roman"/>
                <w:color w:val="000000"/>
                <w:sz w:val="22"/>
              </w:rPr>
            </w:pPr>
            <w:r>
              <w:rPr>
                <w:rFonts w:ascii="Times New Roman" w:hAnsi="Times New Roman"/>
                <w:color w:val="000000"/>
                <w:sz w:val="22"/>
              </w:rPr>
              <w:t xml:space="preserve">[_____________] </w:t>
            </w:r>
          </w:p>
        </w:tc>
      </w:tr>
      <w:tr>
        <w:trPr/>
        <w:tc>
          <w:tcPr>
            <w:tcW w:w="155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Performance Periods</w:t>
            </w:r>
          </w:p>
        </w:tc>
        <w:tc>
          <w:tcPr>
            <w:tcW w:w="8647" w:type="dxa"/>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Times New Roman" w:hAnsi="Times New Roman"/>
                <w:color w:val="000000"/>
                <w:sz w:val="22"/>
              </w:rPr>
              <w:t>One-Third (1/3) of the PSUs shall be eligible to vest based upon achievement of the Performance Goals for the period from January 1, 2025 through December 31, 2025 (the “</w:t>
            </w:r>
            <w:r>
              <w:rPr>
                <w:rFonts w:ascii="Times New Roman" w:hAnsi="Times New Roman"/>
                <w:color w:val="000000"/>
                <w:sz w:val="22"/>
                <w:u w:val="single"/>
              </w:rPr>
              <w:t>First Performance Period</w:t>
            </w:r>
            <w:r>
              <w:rPr>
                <w:rFonts w:ascii="Times New Roman" w:hAnsi="Times New Roman"/>
                <w:color w:val="000000"/>
                <w:sz w:val="22"/>
              </w:rPr>
              <w:t>”), subject to the Participant’s continued employment through January 1, 2026.</w:t>
            </w:r>
          </w:p>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color w:val="000000"/>
                <w:sz w:val="22"/>
              </w:rPr>
              <w:t>One-Third (1/3) of the PSUs shall be eligible to vest based upon achievement of the Performance Goals for the period from January 1, 2026 through December 31, 2026 (the “</w:t>
            </w:r>
            <w:r>
              <w:rPr>
                <w:rFonts w:ascii="Times New Roman" w:hAnsi="Times New Roman"/>
                <w:color w:val="000000"/>
                <w:sz w:val="22"/>
                <w:u w:val="single"/>
              </w:rPr>
              <w:t>Second Performance Period</w:t>
            </w:r>
            <w:r>
              <w:rPr>
                <w:rFonts w:ascii="Times New Roman" w:hAnsi="Times New Roman"/>
                <w:color w:val="000000"/>
                <w:sz w:val="22"/>
              </w:rPr>
              <w:t>”), subject to the Participant’s continued employment through January 1, 2027.</w:t>
            </w:r>
          </w:p>
          <w:p>
            <w:pPr>
              <w:pStyle w:val="TableContents"/>
              <w:bidi w:val="0"/>
              <w:jc w:val="both"/>
              <w:rPr/>
            </w:pPr>
            <w:r>
              <w:rPr/>
              <w:t> </w:t>
            </w:r>
          </w:p>
          <w:p>
            <w:pPr>
              <w:pStyle w:val="TableContents"/>
              <w:bidi w:val="0"/>
              <w:spacing w:before="0" w:after="283"/>
              <w:ind w:left="0" w:right="0" w:firstLine="7"/>
              <w:jc w:val="both"/>
              <w:rPr>
                <w:rFonts w:ascii="Times New Roman" w:hAnsi="Times New Roman"/>
                <w:sz w:val="22"/>
              </w:rPr>
            </w:pPr>
            <w:r>
              <w:rPr>
                <w:rFonts w:ascii="Times New Roman" w:hAnsi="Times New Roman"/>
                <w:color w:val="000000"/>
                <w:sz w:val="22"/>
              </w:rPr>
              <w:t>One-Third (1/3) of the PSUs shall be eligible to vest based upon achievement of the Performance Goals for the period from January 1, 2027 through December 31, 2027 (the “</w:t>
            </w:r>
            <w:r>
              <w:rPr>
                <w:rFonts w:ascii="Times New Roman" w:hAnsi="Times New Roman"/>
                <w:color w:val="000000"/>
                <w:sz w:val="22"/>
                <w:u w:val="single"/>
              </w:rPr>
              <w:t>Third Performance Period</w:t>
            </w:r>
            <w:r>
              <w:rPr>
                <w:rFonts w:ascii="Times New Roman" w:hAnsi="Times New Roman"/>
                <w:color w:val="000000"/>
                <w:sz w:val="22"/>
              </w:rPr>
              <w:t>”, and together with the First Performance Period and the Second Performance Periods, the “</w:t>
            </w:r>
            <w:r>
              <w:rPr>
                <w:rFonts w:ascii="Times New Roman" w:hAnsi="Times New Roman"/>
                <w:color w:val="000000"/>
                <w:sz w:val="22"/>
                <w:u w:val="single"/>
              </w:rPr>
              <w:t>Performance Periods</w:t>
            </w:r>
            <w:r>
              <w:rPr>
                <w:rFonts w:ascii="Times New Roman" w:hAnsi="Times New Roman"/>
                <w:color w:val="000000"/>
                <w:sz w:val="22"/>
              </w:rPr>
              <w:t>”), subject to the Participant’s continued employment through January 1, 2028.</w:t>
            </w:r>
          </w:p>
        </w:tc>
      </w:tr>
      <w:tr>
        <w:trPr/>
        <w:tc>
          <w:tcPr>
            <w:tcW w:w="1558" w:type="dxa"/>
            <w:tcBorders/>
            <w:tcMar>
              <w:top w:w="0" w:type="dxa"/>
              <w:left w:w="0" w:type="dxa"/>
              <w:bottom w:w="0" w:type="dxa"/>
              <w:right w:w="0" w:type="dxa"/>
            </w:tcMar>
            <w:vAlign w:val="center"/>
          </w:tcPr>
          <w:p>
            <w:pPr>
              <w:pStyle w:val="TableContents"/>
              <w:bidi w:val="0"/>
              <w:spacing w:before="60" w:after="60"/>
              <w:ind w:left="0" w:right="0" w:firstLine="7"/>
              <w:jc w:val="left"/>
              <w:rPr>
                <w:rFonts w:ascii="Times New Roman" w:hAnsi="Times New Roman"/>
                <w:b/>
                <w:color w:val="000000"/>
                <w:sz w:val="22"/>
              </w:rPr>
            </w:pPr>
            <w:r>
              <w:rPr>
                <w:rFonts w:ascii="Times New Roman" w:hAnsi="Times New Roman"/>
                <w:b/>
                <w:color w:val="000000"/>
                <w:sz w:val="22"/>
              </w:rPr>
              <w:t>Performance Goals:</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ind w:left="0" w:right="0" w:firstLine="7"/>
              <w:jc w:val="left"/>
              <w:rPr/>
            </w:pPr>
            <w:r>
              <w:rPr/>
              <w:t> </w:t>
            </w:r>
          </w:p>
          <w:p>
            <w:pPr>
              <w:pStyle w:val="TableContents"/>
              <w:bidi w:val="0"/>
              <w:spacing w:before="0" w:after="283"/>
              <w:ind w:left="0" w:right="0" w:firstLine="7"/>
              <w:jc w:val="left"/>
              <w:rPr/>
            </w:pPr>
            <w:r>
              <w:rPr/>
              <w:t> </w:t>
            </w:r>
          </w:p>
        </w:tc>
        <w:tc>
          <w:tcPr>
            <w:tcW w:w="864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A portion of the PSUs will vest following the Performance Period as to that percentage of the PSUs set forth below, with linear interpolation between 50% and 200% (rounding down to the nearest whole Share), based upon achievement of the applicable Revenue Performance Goal and Adjusted EBITDA Performance Goal. Fifty percent (50%) of the PSUs eligible to vest for each Performance Period shall be subject to the Revenue Performance Goal and fifty percent (50%) of the PSUs eligible to vest for each Performance Period shall be subject to the Adjusted EBITDA Performance Goal.</w:t>
            </w:r>
          </w:p>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 xml:space="preserve">For the avoidance of doubt, (i) if the Minimum Revenue Performance Goal is not met in a Performance Period, then no PSUs subject to the Revenue Performance Goal shall be eligible vest for such Performance Period; (ii) if the Minimum Adjusted EBITDA Performance Goal is not met in a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Performance Period, then no PSUs subject to the Adjusted EBITDA Performance Goal shall be eligible vest for such Performance Period; and (iii) even if performance exceeds the Maximum Revenue Performance Goal or the Maximum Adjusted EBITDA Performance Goal, the maximum number of PSUs that may be earned for each performance period is 200% of the PSUs relating to such Performance Period and such Performance Goal.</w:t>
            </w:r>
          </w:p>
          <w:p>
            <w:pPr>
              <w:pStyle w:val="TableContents"/>
              <w:bidi w:val="0"/>
              <w:spacing w:before="120" w:after="283"/>
              <w:jc w:val="both"/>
              <w:rPr>
                <w:rFonts w:ascii="Times New Roman" w:hAnsi="Times New Roman"/>
                <w:sz w:val="22"/>
              </w:rPr>
            </w:pPr>
            <w:r>
              <w:rPr>
                <w:rFonts w:ascii="Times New Roman" w:hAnsi="Times New Roman"/>
                <w:b/>
                <w:color w:val="000000"/>
                <w:sz w:val="22"/>
                <w:u w:val="single"/>
              </w:rPr>
              <w:t>First Performance Period</w:t>
            </w:r>
            <w:r>
              <w:rPr>
                <w:rFonts w:ascii="Times New Roman" w:hAnsi="Times New Roman"/>
                <w:color w:val="000000"/>
                <w:sz w:val="22"/>
              </w:rPr>
              <w:t>:</w:t>
            </w:r>
          </w:p>
          <w:p>
            <w:pPr>
              <w:pStyle w:val="TableContents"/>
              <w:bidi w:val="0"/>
              <w:spacing w:before="0" w:after="160"/>
              <w:jc w:val="left"/>
              <w:rPr>
                <w:rFonts w:ascii="Times New Roman" w:hAnsi="Times New Roman"/>
                <w:i/>
                <w:color w:val="000000"/>
                <w:sz w:val="22"/>
              </w:rPr>
            </w:pPr>
            <w:r>
              <w:rPr>
                <w:rFonts w:ascii="Times New Roman" w:hAnsi="Times New Roman"/>
                <w:i/>
                <w:color w:val="000000"/>
                <w:sz w:val="22"/>
              </w:rPr>
              <w:t>Revenue Performance Goal:</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Minimum Revenue Performance Goal: $[***] – 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100%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Maximum Revenue Performance Goal: $[***] – 200%</w:t>
            </w:r>
          </w:p>
          <w:p>
            <w:pPr>
              <w:pStyle w:val="TableContents"/>
              <w:bidi w:val="0"/>
              <w:spacing w:before="0" w:after="160"/>
              <w:jc w:val="left"/>
              <w:rPr>
                <w:rFonts w:ascii="Times New Roman" w:hAnsi="Times New Roman"/>
                <w:i/>
                <w:color w:val="000000"/>
                <w:sz w:val="22"/>
              </w:rPr>
            </w:pPr>
            <w:r>
              <w:rPr>
                <w:rFonts w:ascii="Times New Roman" w:hAnsi="Times New Roman"/>
                <w:i/>
                <w:color w:val="000000"/>
                <w:sz w:val="22"/>
              </w:rPr>
              <w:t>Adjusted EBITDA Performance Goal:</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Minimum Adjusted EBITDA Performance Goal: $[***] – 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100%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Maximum Adjusted EBITDA Performance Goal: $[***] – 200%</w:t>
            </w:r>
          </w:p>
          <w:p>
            <w:pPr>
              <w:pStyle w:val="TableContents"/>
              <w:bidi w:val="0"/>
              <w:jc w:val="left"/>
              <w:rPr/>
            </w:pPr>
            <w:r>
              <w:rPr/>
              <w:t> </w:t>
            </w:r>
          </w:p>
          <w:p>
            <w:pPr>
              <w:pStyle w:val="TableContents"/>
              <w:bidi w:val="0"/>
              <w:spacing w:before="120" w:after="283"/>
              <w:jc w:val="both"/>
              <w:rPr>
                <w:rFonts w:ascii="Times New Roman" w:hAnsi="Times New Roman"/>
                <w:sz w:val="22"/>
              </w:rPr>
            </w:pPr>
            <w:r>
              <w:rPr>
                <w:rFonts w:ascii="Times New Roman" w:hAnsi="Times New Roman"/>
                <w:b/>
                <w:color w:val="000000"/>
                <w:sz w:val="22"/>
                <w:u w:val="single"/>
              </w:rPr>
              <w:t>Second Performance Period</w:t>
            </w:r>
            <w:r>
              <w:rPr>
                <w:rFonts w:ascii="Times New Roman" w:hAnsi="Times New Roman"/>
                <w:color w:val="000000"/>
                <w:sz w:val="22"/>
              </w:rPr>
              <w:t>:</w:t>
            </w:r>
          </w:p>
          <w:p>
            <w:pPr>
              <w:pStyle w:val="TableContents"/>
              <w:bidi w:val="0"/>
              <w:spacing w:before="0" w:after="160"/>
              <w:jc w:val="left"/>
              <w:rPr>
                <w:rFonts w:ascii="Times New Roman" w:hAnsi="Times New Roman"/>
                <w:i/>
                <w:color w:val="000000"/>
                <w:sz w:val="22"/>
              </w:rPr>
            </w:pPr>
            <w:r>
              <w:rPr>
                <w:rFonts w:ascii="Times New Roman" w:hAnsi="Times New Roman"/>
                <w:i/>
                <w:color w:val="000000"/>
                <w:sz w:val="22"/>
              </w:rPr>
              <w:t>Revenue Performance Goal:</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Minimum Revenue Performance Goal: $[***] – 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100%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Maximum Revenue Performance Goal: $[***] – 200%</w:t>
            </w:r>
          </w:p>
          <w:p>
            <w:pPr>
              <w:pStyle w:val="TableContents"/>
              <w:bidi w:val="0"/>
              <w:spacing w:before="0" w:after="160"/>
              <w:jc w:val="left"/>
              <w:rPr>
                <w:rFonts w:ascii="Times New Roman" w:hAnsi="Times New Roman"/>
                <w:i/>
                <w:color w:val="000000"/>
                <w:sz w:val="22"/>
              </w:rPr>
            </w:pPr>
            <w:r>
              <w:rPr>
                <w:rFonts w:ascii="Times New Roman" w:hAnsi="Times New Roman"/>
                <w:i/>
                <w:color w:val="000000"/>
                <w:sz w:val="22"/>
              </w:rPr>
              <w:t>Adjusted EBITDA Performance Goal:</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Minimum Adjusted EBITDA Performance Goal: $[***] – 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100%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Maximum Adjusted EBITDA Performance Goal: $[***] – 200%</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0"/>
        <w:gridCol w:w="8855"/>
      </w:tblGrid>
      <w:tr>
        <w:trPr/>
        <w:tc>
          <w:tcPr>
            <w:tcW w:w="1350" w:type="dxa"/>
            <w:tcBorders/>
            <w:vAlign w:val="center"/>
          </w:tcPr>
          <w:p>
            <w:pPr>
              <w:pStyle w:val="TableContents"/>
              <w:bidi w:val="0"/>
              <w:spacing w:before="0" w:after="283"/>
              <w:jc w:val="left"/>
              <w:rPr>
                <w:sz w:val="4"/>
                <w:szCs w:val="4"/>
              </w:rPr>
            </w:pPr>
            <w:r>
              <w:rPr>
                <w:sz w:val="4"/>
                <w:szCs w:val="4"/>
              </w:rPr>
            </w:r>
          </w:p>
        </w:tc>
        <w:tc>
          <w:tcPr>
            <w:tcW w:w="8855" w:type="dxa"/>
            <w:tcBorders/>
            <w:vAlign w:val="center"/>
          </w:tcPr>
          <w:p>
            <w:pPr>
              <w:pStyle w:val="TableContents"/>
              <w:bidi w:val="0"/>
              <w:spacing w:before="0" w:after="283"/>
              <w:jc w:val="left"/>
              <w:rPr>
                <w:sz w:val="4"/>
                <w:szCs w:val="4"/>
              </w:rPr>
            </w:pPr>
            <w:r>
              <w:rPr>
                <w:sz w:val="4"/>
                <w:szCs w:val="4"/>
              </w:rPr>
            </w:r>
          </w:p>
        </w:tc>
      </w:tr>
      <w:tr>
        <w:trPr/>
        <w:tc>
          <w:tcPr>
            <w:tcW w:w="1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85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2"/>
              </w:rPr>
            </w:pPr>
            <w:r>
              <w:rPr>
                <w:rFonts w:ascii="Times New Roman" w:hAnsi="Times New Roman"/>
                <w:b/>
                <w:color w:val="000000"/>
                <w:sz w:val="22"/>
                <w:u w:val="single"/>
              </w:rPr>
              <w:t>Third Performance Period</w:t>
            </w:r>
            <w:r>
              <w:rPr>
                <w:rFonts w:ascii="Times New Roman" w:hAnsi="Times New Roman"/>
                <w:color w:val="000000"/>
                <w:sz w:val="22"/>
              </w:rPr>
              <w:t>:</w:t>
            </w:r>
          </w:p>
          <w:p>
            <w:pPr>
              <w:pStyle w:val="TableContents"/>
              <w:bidi w:val="0"/>
              <w:spacing w:before="120" w:after="283"/>
              <w:jc w:val="both"/>
              <w:rPr/>
            </w:pPr>
            <w:r>
              <w:rPr/>
              <w:t> </w:t>
            </w:r>
          </w:p>
          <w:p>
            <w:pPr>
              <w:pStyle w:val="TableContents"/>
              <w:bidi w:val="0"/>
              <w:spacing w:before="0" w:after="160"/>
              <w:jc w:val="left"/>
              <w:rPr>
                <w:rFonts w:ascii="Times New Roman" w:hAnsi="Times New Roman"/>
                <w:i/>
                <w:color w:val="000000"/>
                <w:sz w:val="22"/>
              </w:rPr>
            </w:pPr>
            <w:r>
              <w:rPr>
                <w:rFonts w:ascii="Times New Roman" w:hAnsi="Times New Roman"/>
                <w:i/>
                <w:color w:val="000000"/>
                <w:sz w:val="22"/>
              </w:rPr>
              <w:t>Revenue Performance Goal:</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Minimum Revenue Performance Goal: $[***] – 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100%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Maximum Revenue Performance Goal: $[***] – 200%</w:t>
            </w:r>
          </w:p>
          <w:p>
            <w:pPr>
              <w:pStyle w:val="TableContents"/>
              <w:bidi w:val="0"/>
              <w:spacing w:before="0" w:after="160"/>
              <w:jc w:val="left"/>
              <w:rPr>
                <w:rFonts w:ascii="Times New Roman" w:hAnsi="Times New Roman"/>
                <w:i/>
                <w:color w:val="000000"/>
                <w:sz w:val="22"/>
              </w:rPr>
            </w:pPr>
            <w:r>
              <w:rPr>
                <w:rFonts w:ascii="Times New Roman" w:hAnsi="Times New Roman"/>
                <w:i/>
                <w:color w:val="000000"/>
                <w:sz w:val="22"/>
              </w:rPr>
              <w:t>Adjusted EBITDA Performance Goal:</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Minimum Adjusted EBITDA Performance Goal: $[***] – 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100%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 – 150%</w:t>
            </w:r>
          </w:p>
          <w:p>
            <w:pPr>
              <w:pStyle w:val="TableContents"/>
              <w:bidi w:val="0"/>
              <w:spacing w:before="0" w:after="160"/>
              <w:jc w:val="left"/>
              <w:rPr>
                <w:color w:val="000000"/>
              </w:rPr>
            </w:pPr>
            <w:r>
              <w:rPr>
                <w:color w:val="000000"/>
              </w:rPr>
              <w:t>•</w:t>
            </w:r>
          </w:p>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Maximum Adjusted EBITDA Performance Goal: $[***] – 200%</w:t>
            </w:r>
          </w:p>
          <w:p>
            <w:pPr>
              <w:pStyle w:val="TableContents"/>
              <w:bidi w:val="0"/>
              <w:spacing w:before="120" w:after="283"/>
              <w:ind w:left="0" w:right="0" w:firstLine="7"/>
              <w:jc w:val="both"/>
              <w:rPr/>
            </w:pPr>
            <w:r>
              <w:rPr/>
              <w:t> </w:t>
            </w:r>
          </w:p>
        </w:tc>
      </w:tr>
      <w:tr>
        <w:trPr/>
        <w:tc>
          <w:tcPr>
            <w:tcW w:w="1350" w:type="dxa"/>
            <w:tcBorders/>
            <w:tcMar>
              <w:top w:w="0" w:type="dxa"/>
              <w:left w:w="0" w:type="dxa"/>
              <w:bottom w:w="0" w:type="dxa"/>
              <w:right w:w="0" w:type="dxa"/>
            </w:tcMar>
            <w:vAlign w:val="center"/>
          </w:tcPr>
          <w:p>
            <w:pPr>
              <w:pStyle w:val="TableContents"/>
              <w:bidi w:val="0"/>
              <w:spacing w:before="60" w:after="60"/>
              <w:ind w:left="0" w:right="0" w:firstLine="7"/>
              <w:jc w:val="left"/>
              <w:rPr/>
            </w:pPr>
            <w:r>
              <w:rPr/>
              <w:t> </w:t>
            </w:r>
          </w:p>
        </w:tc>
        <w:tc>
          <w:tcPr>
            <w:tcW w:w="8855" w:type="dxa"/>
            <w:tcBorders/>
            <w:tcMar>
              <w:top w:w="0" w:type="dxa"/>
              <w:left w:w="0" w:type="dxa"/>
              <w:bottom w:w="0" w:type="dxa"/>
              <w:right w:w="0" w:type="dxa"/>
            </w:tcMar>
            <w:vAlign w:val="center"/>
          </w:tcPr>
          <w:p>
            <w:pPr>
              <w:pStyle w:val="TableContents"/>
              <w:bidi w:val="0"/>
              <w:spacing w:before="120" w:after="283"/>
              <w:jc w:val="both"/>
              <w:rPr/>
            </w:pPr>
            <w:r>
              <w:rPr>
                <w:color w:val="000000"/>
              </w:rPr>
              <w:t>“</w:t>
            </w:r>
            <w:r>
              <w:rPr>
                <w:rFonts w:ascii="Times New Roman" w:hAnsi="Times New Roman"/>
                <w:color w:val="000000"/>
                <w:sz w:val="22"/>
                <w:u w:val="single"/>
              </w:rPr>
              <w:t>Revenue</w:t>
            </w:r>
            <w:r>
              <w:rPr>
                <w:rFonts w:ascii="Times New Roman" w:hAnsi="Times New Roman"/>
                <w:color w:val="000000"/>
                <w:sz w:val="22"/>
              </w:rPr>
              <w:t>” shall mean the total net revenues recognized in the Company’s condensed consolidated financial statements in accordance with United States generally accepted accounting principles (“GAAP”) for the applicable period.</w:t>
            </w:r>
          </w:p>
          <w:p>
            <w:pPr>
              <w:pStyle w:val="TableContents"/>
              <w:bidi w:val="0"/>
              <w:spacing w:before="120" w:after="283"/>
              <w:jc w:val="both"/>
              <w:rPr/>
            </w:pPr>
            <w:r>
              <w:rPr>
                <w:color w:val="000000"/>
              </w:rPr>
              <w:t>“</w:t>
            </w:r>
            <w:r>
              <w:rPr>
                <w:rFonts w:ascii="Times New Roman" w:hAnsi="Times New Roman"/>
                <w:color w:val="000000"/>
                <w:sz w:val="22"/>
                <w:u w:val="single"/>
              </w:rPr>
              <w:t>Adjusted EBITDA</w:t>
            </w:r>
            <w:r>
              <w:rPr>
                <w:rFonts w:ascii="Times New Roman" w:hAnsi="Times New Roman"/>
                <w:color w:val="000000"/>
                <w:sz w:val="22"/>
              </w:rPr>
              <w:t xml:space="preserve">” shall mean, for any calendar year, the Company’s earnings (loss) before interest and other expenses, net, income tax expense (benefit), depreciation and amortization expenses, as determined in accordance with normal business practices, as adjusted to exclude stock-based compensation, merger transaction related expenses adjusted and any other non-recurring items as deemed appropriate by the Committee or the Board. For the First Performance Period, Adjusted EBITDA shall exclude inventory impairment charges from the calculation. </w:t>
            </w:r>
          </w:p>
          <w:p>
            <w:pPr>
              <w:pStyle w:val="TableContents"/>
              <w:bidi w:val="0"/>
              <w:spacing w:before="120" w:after="283"/>
              <w:ind w:left="0" w:right="0" w:firstLine="7"/>
              <w:jc w:val="both"/>
              <w:rPr>
                <w:rFonts w:ascii="Times New Roman" w:hAnsi="Times New Roman"/>
                <w:color w:val="000000"/>
                <w:sz w:val="22"/>
              </w:rPr>
            </w:pPr>
            <w:r>
              <w:rPr>
                <w:rFonts w:ascii="Times New Roman" w:hAnsi="Times New Roman"/>
                <w:color w:val="000000"/>
                <w:sz w:val="22"/>
              </w:rPr>
              <w:t>The Committee or the Board shall make all determinations regarding the achievement of the Performance Goals in their discretion and all determinations by the Committee or the Board shall be final and binding.</w:t>
            </w:r>
          </w:p>
        </w:tc>
      </w:tr>
      <w:tr>
        <w:trPr/>
        <w:tc>
          <w:tcPr>
            <w:tcW w:w="1350" w:type="dxa"/>
            <w:tcBorders/>
            <w:tcMar>
              <w:top w:w="0" w:type="dxa"/>
              <w:left w:w="0" w:type="dxa"/>
              <w:bottom w:w="0" w:type="dxa"/>
              <w:right w:w="0" w:type="dxa"/>
            </w:tcMar>
            <w:vAlign w:val="center"/>
          </w:tcPr>
          <w:p>
            <w:pPr>
              <w:pStyle w:val="TableContents"/>
              <w:bidi w:val="0"/>
              <w:spacing w:before="60" w:after="60"/>
              <w:ind w:left="0" w:right="0" w:firstLine="4"/>
              <w:jc w:val="left"/>
              <w:rPr>
                <w:rFonts w:ascii="Times New Roman" w:hAnsi="Times New Roman"/>
                <w:b/>
                <w:color w:val="000000"/>
                <w:sz w:val="22"/>
              </w:rPr>
            </w:pPr>
            <w:r>
              <w:rPr>
                <w:rFonts w:ascii="Times New Roman" w:hAnsi="Times New Roman"/>
                <w:b/>
                <w:color w:val="000000"/>
                <w:sz w:val="22"/>
              </w:rPr>
              <w:t>Termination:</w:t>
            </w:r>
          </w:p>
        </w:tc>
        <w:tc>
          <w:tcPr>
            <w:tcW w:w="8855" w:type="dxa"/>
            <w:tcBorders/>
            <w:tcMar>
              <w:top w:w="0" w:type="dxa"/>
              <w:left w:w="0" w:type="dxa"/>
              <w:bottom w:w="0" w:type="dxa"/>
              <w:right w:w="0" w:type="dxa"/>
            </w:tcMar>
            <w:vAlign w:val="center"/>
          </w:tcPr>
          <w:p>
            <w:pPr>
              <w:pStyle w:val="TableContents"/>
              <w:bidi w:val="0"/>
              <w:spacing w:before="120" w:after="240"/>
              <w:ind w:left="0" w:right="0" w:firstLine="4"/>
              <w:jc w:val="left"/>
              <w:rPr>
                <w:rFonts w:ascii="Times New Roman" w:hAnsi="Times New Roman"/>
                <w:color w:val="000000"/>
                <w:sz w:val="22"/>
              </w:rPr>
            </w:pPr>
            <w:r>
              <w:rPr>
                <w:rFonts w:ascii="Times New Roman" w:hAnsi="Times New Roman"/>
                <w:color w:val="000000"/>
                <w:sz w:val="22"/>
              </w:rPr>
              <w:t>If the Participant experiences a termination of employment or service with the Company or its Subsidiaries, all PSUs that have not become vested on or prior to the date of such termination of employment or service will thereupon be automatically forfeited by the Participant without payment of any consideration therefor.</w:t>
            </w:r>
          </w:p>
        </w:tc>
      </w:tr>
    </w:tbl>
    <w:p>
      <w:pPr>
        <w:pStyle w:val="TextBody"/>
        <w:bidi w:val="0"/>
        <w:spacing w:before="120" w:after="240"/>
        <w:jc w:val="both"/>
        <w:rPr>
          <w:rFonts w:ascii="Times New Roman" w:hAnsi="Times New Roman"/>
          <w:sz w:val="20"/>
        </w:rPr>
      </w:pPr>
      <w:r>
        <w:rPr>
          <w:rFonts w:ascii="Times New Roman" w:hAnsi="Times New Roman"/>
          <w:color w:val="000000"/>
          <w:sz w:val="22"/>
        </w:rPr>
        <w:t xml:space="preserve">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 of the Agreement and the Plan. </w:t>
      </w:r>
      <w:r>
        <w:rPr>
          <w:rFonts w:ascii="Times New Roman" w:hAnsi="Times New Roman"/>
          <w:b/>
          <w:color w:val="000000"/>
          <w:sz w:val="22"/>
        </w:rPr>
        <w:t>Unless the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b/>
          <w:color w:val="000000"/>
          <w:sz w:val="22"/>
        </w:rPr>
      </w:pPr>
      <w:r>
        <w:rPr>
          <w:rFonts w:ascii="Times New Roman" w:hAnsi="Times New Roman"/>
          <w:b/>
          <w:color w:val="000000"/>
          <w:sz w:val="22"/>
        </w:rPr>
        <w:t>Participant chooses to satisfy his or her tax withholding obligation by making a cash payment to the Company not less than five (5) business days before any withholding obligation arises, the Participant’s acceptance of this Agreement constitutes his or her instruction and authorization to the Company and any brokerage firm determined acceptable to the Company for such purpose to sell on Participant’s behalf shares of Common Stock from those Shares issuable to Participant as the Company determines to be appropriate to generate cash proceeds sufficient to satisfy Participant’s tax withholding obligation.</w:t>
      </w:r>
    </w:p>
    <w:tbl>
      <w:tblPr>
        <w:tblW w:w="4290" w:type="dxa"/>
        <w:jc w:val="left"/>
        <w:tblInd w:w="0" w:type="dxa"/>
        <w:tblLayout w:type="fixed"/>
        <w:tblCellMar>
          <w:top w:w="28" w:type="dxa"/>
          <w:left w:w="28" w:type="dxa"/>
          <w:bottom w:w="28" w:type="dxa"/>
          <w:right w:w="28" w:type="dxa"/>
        </w:tblCellMar>
      </w:tblPr>
      <w:tblGrid>
        <w:gridCol w:w="2237"/>
        <w:gridCol w:w="253"/>
        <w:gridCol w:w="1476"/>
        <w:gridCol w:w="324"/>
      </w:tblGrid>
      <w:tr>
        <w:trPr/>
        <w:tc>
          <w:tcPr>
            <w:tcW w:w="22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490"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Times New Roman" w:hAnsi="Times New Roman"/>
                <w:b/>
                <w:caps/>
                <w:color w:val="000000"/>
                <w:sz w:val="22"/>
              </w:rPr>
              <w:t>TIGO ENERGY, INC.:</w:t>
            </w:r>
            <w:r>
              <w:rPr>
                <w:rFonts w:ascii="Times New Roman" w:hAnsi="Times New Roman"/>
                <w:caps/>
                <w:color w:val="000000"/>
                <w:sz w:val="22"/>
              </w:rPr>
              <w:t xml:space="preserve"> </w:t>
            </w:r>
          </w:p>
        </w:tc>
        <w:tc>
          <w:tcPr>
            <w:tcW w:w="18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Print Name: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Print Name: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Address: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Address: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TO PERFORMANCE STOCK UNIT AWARD GRANT NOTICE</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PERFORMANCE STOCK UNIT AWARD AGREEMENT</w:t>
      </w:r>
    </w:p>
    <w:p>
      <w:pPr>
        <w:pStyle w:val="TextBody"/>
        <w:bidi w:val="0"/>
        <w:spacing w:before="0" w:after="240"/>
        <w:jc w:val="both"/>
        <w:rPr>
          <w:rFonts w:ascii="Times New Roman" w:hAnsi="Times New Roman"/>
          <w:sz w:val="20"/>
        </w:rPr>
      </w:pPr>
      <w:r>
        <w:rPr>
          <w:rFonts w:ascii="Times New Roman" w:hAnsi="Times New Roman"/>
          <w:color w:val="000000"/>
          <w:sz w:val="22"/>
        </w:rPr>
        <w:t>Pursuant to the Performance Stock Unit Award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to which this Performance Stock Unit Award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attached, Tigo Energy,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granted to the Participant the number of performance vesting restricted stock units (“</w:t>
      </w:r>
      <w:r>
        <w:rPr>
          <w:rFonts w:ascii="Times New Roman" w:hAnsi="Times New Roman"/>
          <w:b/>
          <w:i/>
          <w:color w:val="000000"/>
          <w:sz w:val="22"/>
        </w:rPr>
        <w:t>Performance Stock Units</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b/>
          <w:i/>
          <w:color w:val="000000"/>
          <w:sz w:val="22"/>
        </w:rPr>
        <w:t>PSUs</w:t>
      </w:r>
      <w:r>
        <w:rPr>
          <w:rFonts w:ascii="Times New Roman" w:hAnsi="Times New Roman"/>
          <w:color w:val="000000"/>
          <w:sz w:val="20"/>
        </w:rPr>
        <w:t>”</w:t>
      </w:r>
      <w:r>
        <w:rPr>
          <w:rFonts w:ascii="Times New Roman" w:hAnsi="Times New Roman"/>
          <w:color w:val="000000"/>
          <w:sz w:val="22"/>
        </w:rPr>
        <w:t>) set forth in the Grant Notice under the Company’s 2023 Incentive Plan, as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Each Performance Stock Unit represents the right to receive one share of Common Stock (a “</w:t>
      </w:r>
      <w:r>
        <w:rPr>
          <w:rFonts w:ascii="Times New Roman" w:hAnsi="Times New Roman"/>
          <w:b/>
          <w:i/>
          <w:color w:val="000000"/>
          <w:sz w:val="22"/>
        </w:rPr>
        <w:t>Share</w:t>
      </w:r>
      <w:r>
        <w:rPr>
          <w:rFonts w:ascii="Times New Roman" w:hAnsi="Times New Roman"/>
          <w:color w:val="000000"/>
          <w:sz w:val="20"/>
        </w:rPr>
        <w:t>”</w:t>
      </w:r>
      <w:r>
        <w:rPr>
          <w:rFonts w:ascii="Times New Roman" w:hAnsi="Times New Roman"/>
          <w:color w:val="000000"/>
          <w:sz w:val="22"/>
        </w:rPr>
        <w:t>) upon vesting.</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0"/>
        <w:jc w:val="center"/>
        <w:rPr/>
      </w:pPr>
      <w:r>
        <w:rPr>
          <w:rFonts w:ascii="Times New Roman" w:hAnsi="Times New Roman"/>
          <w:b/>
          <w:caps/>
          <w:color w:val="000000"/>
          <w:sz w:val="24"/>
        </w:rPr>
        <w:br/>
      </w:r>
      <w:r>
        <w:rPr>
          <w:rFonts w:ascii="Times New Roman" w:hAnsi="Times New Roman"/>
          <w:b/>
          <w:caps/>
          <w:color w:val="000000"/>
          <w:sz w:val="22"/>
        </w:rPr>
        <w:t>GENERAL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Capitalized terms not specifically defined herein shall have the meanings specified in the Plan and the Grant Notice.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1.2</w:t>
      </w:r>
    </w:p>
    <w:p>
      <w:pPr>
        <w:pStyle w:val="TextBody"/>
        <w:bidi w:val="0"/>
        <w:spacing w:before="0" w:after="240"/>
        <w:jc w:val="both"/>
        <w:rPr/>
      </w:pPr>
      <w:r>
        <w:rPr>
          <w:rFonts w:ascii="Times New Roman" w:hAnsi="Times New Roman"/>
          <w:color w:val="000000"/>
          <w:sz w:val="22"/>
          <w:u w:val="single"/>
        </w:rPr>
        <w:t>Incorporation of Terms of Plan</w:t>
      </w:r>
      <w:r>
        <w:rPr>
          <w:rFonts w:ascii="Times New Roman" w:hAnsi="Times New Roman"/>
          <w:color w:val="000000"/>
          <w:sz w:val="22"/>
        </w:rPr>
        <w:t>. The PSUs are subject to the terms and conditions of the Plan, which are incorporated herein by reference. In the event of any inconsistency between the Plan and this Agreement, the terms of the Plan shall control.</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GRANT OF PERFORMANCE STOCK UNITS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spacing w:before="0" w:after="240"/>
        <w:jc w:val="both"/>
        <w:rPr/>
      </w:pPr>
      <w:r>
        <w:rPr>
          <w:rFonts w:ascii="Times New Roman" w:hAnsi="Times New Roman"/>
          <w:color w:val="000000"/>
          <w:sz w:val="22"/>
          <w:u w:val="single"/>
        </w:rPr>
        <w:t>Grant of PSUs</w:t>
      </w:r>
      <w:r>
        <w:rPr>
          <w:rFonts w:ascii="Times New Roman" w:hAnsi="Times New Roman"/>
          <w:color w:val="000000"/>
          <w:sz w:val="22"/>
        </w:rPr>
        <w:t xml:space="preserve">. Pursuant to the Grant Notice and upon the terms and conditions set forth in the Plan and this Agreement, effective as of the Grant Date set forth in the Grant Notice, the Company hereby grants to the Participant an award of PSUs under the Plan in consideration of the Participant’s past or continued employment with or service to the Company or any Subsidiaries and for other good and valuable consideration.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0" w:after="240"/>
        <w:jc w:val="both"/>
        <w:rPr/>
      </w:pPr>
      <w:r>
        <w:rPr>
          <w:rFonts w:ascii="Times New Roman" w:hAnsi="Times New Roman"/>
          <w:color w:val="000000"/>
          <w:sz w:val="22"/>
          <w:u w:val="single"/>
        </w:rPr>
        <w:t>Unsecured Obligation to PSUs</w:t>
      </w:r>
      <w:r>
        <w:rPr>
          <w:rFonts w:ascii="Times New Roman" w:hAnsi="Times New Roman"/>
          <w:color w:val="000000"/>
          <w:sz w:val="22"/>
        </w:rPr>
        <w:t xml:space="preserve">. Unless and until the PSUs have vested in the manner set forth in Article 2 hereof, the Participant will have no right to receive Shares under any such PSUs. Prior to actual payment of any vested PSUs, such PSUs will represent an unsecured obligation of the Company, payable (if at all) only from the general assets of the Company.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2.3</w:t>
      </w:r>
    </w:p>
    <w:p>
      <w:pPr>
        <w:pStyle w:val="TextBody"/>
        <w:bidi w:val="0"/>
        <w:spacing w:before="0" w:after="240"/>
        <w:jc w:val="both"/>
        <w:rPr/>
      </w:pPr>
      <w:r>
        <w:rPr>
          <w:rFonts w:ascii="Times New Roman" w:hAnsi="Times New Roman"/>
          <w:color w:val="000000"/>
          <w:sz w:val="22"/>
          <w:u w:val="single"/>
        </w:rPr>
        <w:t>Vesting Criteria of PSUs</w:t>
      </w:r>
      <w:r>
        <w:rPr>
          <w:rFonts w:ascii="Times New Roman" w:hAnsi="Times New Roman"/>
          <w:color w:val="000000"/>
          <w:sz w:val="22"/>
        </w:rPr>
        <w:t>. The PSUs are subject to the vesting criteria set forth in the Notice, including the (i) achievement of the Performance Goals set forth in the Notice, and (ii) the Participant’s continuous employment through the date specified for each applicable Performance Period. As soon as practicable following completion of each Performance Period but in any event no later than April 1 of the year following the end of the Performance Period, the Committee or the Board shall determine and certify in writing (a) the level of attainment of the Performance Goals during such Performance Period, (b) and (c) the number of PSUs which have become vested for the Performance Period. The Committee or the Board, in their sole discretion, shall make all determinations regarding the achievement of Performance Goals and the vesting of the PSUs as necessary or appropriate. Determinations made by the Committee or the Board will be final and binding on all parties and will be given the maximum discretion permitted by law.</w:t>
      </w:r>
    </w:p>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2.4</w:t>
      </w:r>
    </w:p>
    <w:p>
      <w:pPr>
        <w:pStyle w:val="TextBody"/>
        <w:bidi w:val="0"/>
        <w:spacing w:before="0" w:after="240"/>
        <w:jc w:val="both"/>
        <w:rPr/>
      </w:pPr>
      <w:r>
        <w:rPr>
          <w:rFonts w:ascii="Times New Roman" w:hAnsi="Times New Roman"/>
          <w:color w:val="000000"/>
          <w:sz w:val="22"/>
          <w:u w:val="single"/>
        </w:rPr>
        <w:t>Consideration to the Company</w:t>
      </w:r>
      <w:r>
        <w:rPr>
          <w:rFonts w:ascii="Times New Roman" w:hAnsi="Times New Roman"/>
          <w:color w:val="000000"/>
          <w:sz w:val="22"/>
        </w:rPr>
        <w:t xml:space="preserve">. In consideration of the grant of the award of PSUs pursuant hereto, the Participant agrees to render faithful and efficient services to the Company or any Subsidiary.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2.5</w:t>
      </w:r>
    </w:p>
    <w:p>
      <w:pPr>
        <w:pStyle w:val="TextBody"/>
        <w:bidi w:val="0"/>
        <w:spacing w:before="0" w:after="240"/>
        <w:jc w:val="both"/>
        <w:rPr/>
      </w:pPr>
      <w:r>
        <w:rPr>
          <w:rFonts w:ascii="Times New Roman" w:hAnsi="Times New Roman"/>
          <w:color w:val="000000"/>
          <w:sz w:val="22"/>
          <w:u w:val="single"/>
        </w:rPr>
        <w:t>Forfeiture, Termination and Cancellation upon Termination of Service</w:t>
      </w:r>
      <w:r>
        <w:rPr>
          <w:rFonts w:ascii="Times New Roman" w:hAnsi="Times New Roman"/>
          <w:color w:val="000000"/>
          <w:sz w:val="22"/>
        </w:rPr>
        <w:t>. Notwithstanding any contrary provision of this Agreement or the Plan, upon the Participant’s termination of employment or service with the Company or its Subsidiaries for any or no reason, all Performance Stock Units which have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PSUs. No portion of the PSUs which has not become vested as of the date on which the Participant incurs a termination of employment or service with the Company or its Subsidiaries shall thereafter become vested, except as may otherwise be provided by the Administrator or as set forth in a written agreement between the Company and the Participant.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2.6</w:t>
      </w:r>
    </w:p>
    <w:p>
      <w:pPr>
        <w:pStyle w:val="TextBody"/>
        <w:bidi w:val="0"/>
        <w:spacing w:before="0" w:after="240"/>
        <w:jc w:val="both"/>
        <w:rPr/>
      </w:pPr>
      <w:r>
        <w:rPr>
          <w:rFonts w:ascii="Times New Roman" w:hAnsi="Times New Roman"/>
          <w:color w:val="000000"/>
          <w:sz w:val="22"/>
          <w:u w:val="single"/>
        </w:rPr>
        <w:t>Issuance of Shares upon Vesting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administratively practicable following the vesting of any Performance Stock Units pursuant to Section 2.3 hereof, but in no event later than March 15 of the calendar year following the calendar year in which such PSUs become vested (for the avoidance of doubt, this deadline is intended to comply with the “short term deferral” exemption from Section 409A of the Code), the Company shall deliver to the Participant (or any transferee permitted under Section 3.2 hereof) a number of Shares equal to the number of PSUs subject to this Award that vest on the applicable vesting date (rounded down to the nearest whole share). Notwithstanding the foregoing, in the event Shares cannot be issued pursuant to Section 9(d) of the Plan, the Shares shall be issued pursuant to the preceding sentence as soon as administratively practicable after the Administrator determines that Shares can again be issued in accordance with such Section.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set forth in Section 14(c)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Performance Stock Units. Additionally, the Company may, in its sole discretion, satisfy any withholding obligations relating to Participant’s PSUs by any of the following means or by a combination of such means: (i) withholding shares of Common Stock otherwise issuable to the Participant upon vesting of the PSUs, (ii) instructing a broker on the Participant’s behalf to sell shares of Common Stock otherwise issuable to the Participant upon vesting of the PSUs sufficient to generate net proceeds sufficient to satisfy the Company’s minimum statutory withholding obligations with respect to the income recognized by the Participant upon the vesting of the PSUs (based on minimum statutory withholding rates for all tax purposes, including payroll and social security taxes, that are applicable to such income) and the net proceeds of such sale shall be submitted to the Company, (iii) requiring Participant to make a payment in cash to the Company, or (iv) using any other method approved by the Company, and to the extent required by applicable laws or the Plan, approved by the Administrator. Until determined otherwise by the Company, clause (ii) will be the method by which such withholding obligations are satisfied, unless the Participant choses to satisfy his or her withholding obligation in accordance with clause (iii) at any time not less than five (5) business days before any withholding obligation arises.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Performance Stock Units or the issuance of Shares.</w:t>
      </w:r>
    </w:p>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Without prejudice to the provisions of Section 14(c) of the Plan, Participant acknowledges that, regardless of any action taken by the Company or, if different, the Employer, the ultimate liability for all income tax, social security and other tax-related items related to Participant's participation in the Plan and the PSUs and legally applicable to Participant or deemed by the Company, the Board or the Employer in its discretion to be an appropriate charge to Participant even if legally applicable to the Company, Board or the Employer (to the extent lawful) (collectively, “</w:t>
      </w:r>
      <w:r>
        <w:rPr>
          <w:rFonts w:ascii="Times New Roman" w:hAnsi="Times New Roman"/>
          <w:b/>
          <w:i/>
          <w:color w:val="000000"/>
          <w:sz w:val="22"/>
        </w:rPr>
        <w:t>Tax-Related Items</w:t>
      </w:r>
      <w:r>
        <w:rPr>
          <w:color w:val="000000"/>
        </w:rPr>
        <w:t>”</w:t>
      </w:r>
      <w:r>
        <w:rPr>
          <w:rFonts w:ascii="Times New Roman" w:hAnsi="Times New Roman"/>
          <w:color w:val="000000"/>
          <w:sz w:val="22"/>
        </w:rPr>
        <w:t>) is and remains Participant's responsibility and may exceed the amount (if any) withheld by the Company, the Board or the Employer, and Participant hereby covenants to pay any such Tax-Related Items, as and when requested by the Employer, the Company, the Board, any Affiliate or any tax authority. Participant further acknowledges that (i) neither the Company, the Board nor the Employer make any representation or undertaking regarding the treatment of any Tax-Related Items in connection with any aspect of the PSUs including, without limitation, the grant or vesting of the PSUs or the subsequent sale/disposal of the PSUs; and (ii) the Company, the Board and the Employer do not commit to and are under no obligation to structure the PSUs to reduce or eliminate Participant's liability for Tax-Related Items or achieve any particular tax result. Further, if Participant is subject to Tax-Related Items in more than one jurisdiction between the date on which the PSUs are granted and the date of any relevant taxable or tax withholding event, as applicable, Participant acknowledges that the Company, the Board 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2.7</w:t>
      </w:r>
    </w:p>
    <w:p>
      <w:pPr>
        <w:pStyle w:val="TextBody"/>
        <w:bidi w:val="0"/>
        <w:spacing w:before="0" w:after="240"/>
        <w:jc w:val="both"/>
        <w:rPr/>
      </w:pPr>
      <w:r>
        <w:rPr>
          <w:rFonts w:ascii="Times New Roman" w:hAnsi="Times New Roman"/>
          <w:color w:val="000000"/>
          <w:sz w:val="22"/>
          <w:u w:val="single"/>
        </w:rPr>
        <w:t>Conditions to Delivery of Shares</w:t>
      </w:r>
      <w:r>
        <w:rPr>
          <w:rFonts w:ascii="Times New Roman" w:hAnsi="Times New Roman"/>
          <w:color w:val="000000"/>
          <w:sz w:val="22"/>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9(d)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2.8</w:t>
      </w:r>
    </w:p>
    <w:p>
      <w:pPr>
        <w:pStyle w:val="TextBody"/>
        <w:bidi w:val="0"/>
        <w:spacing w:before="0" w:after="240"/>
        <w:jc w:val="both"/>
        <w:rPr/>
      </w:pPr>
      <w:r>
        <w:rPr>
          <w:rFonts w:ascii="Times New Roman" w:hAnsi="Times New Roman"/>
          <w:color w:val="000000"/>
          <w:sz w:val="22"/>
          <w:u w:val="single"/>
        </w:rPr>
        <w:t>Rights as Stockholder</w:t>
      </w:r>
      <w:r>
        <w:rPr>
          <w:rFonts w:ascii="Times New Roman" w:hAnsi="Times New Roman"/>
          <w:color w:val="000000"/>
          <w:sz w:val="22"/>
        </w:rPr>
        <w:t>. The holder of the PSUs shall not be, nor have any of the rights or privileges of, a stockholder of the Company, including, without limitation, voting rights and rights to dividends, in respect of the PSUs and any Shares underlying the PSUs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12 or 13 of the Plan.</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0"/>
        <w:jc w:val="center"/>
        <w:rPr>
          <w:rFonts w:ascii="Times New Roman" w:hAnsi="Times New Roman"/>
          <w:b/>
          <w:caps/>
          <w:color w:val="000000"/>
          <w:sz w:val="22"/>
        </w:rPr>
      </w:pPr>
      <w:r>
        <w:rPr>
          <w:rFonts w:ascii="Times New Roman" w:hAnsi="Times New Roman"/>
          <w:b/>
          <w:caps/>
          <w:color w:val="000000"/>
          <w:sz w:val="22"/>
        </w:rPr>
        <w:br/>
        <w:t>OTHER PROVISIONS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PSUs.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3.2</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The PSUs shall be subject to the restrictions on transferability set forth in Section 14(b)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3.3</w:t>
      </w:r>
    </w:p>
    <w:p>
      <w:pPr>
        <w:pStyle w:val="TextBody"/>
        <w:bidi w:val="0"/>
        <w:spacing w:before="0" w:after="240"/>
        <w:jc w:val="both"/>
        <w:rPr/>
      </w:pPr>
      <w:r>
        <w:rPr>
          <w:rFonts w:ascii="Times New Roman" w:hAnsi="Times New Roman"/>
          <w:color w:val="000000"/>
          <w:sz w:val="22"/>
          <w:u w:val="single"/>
        </w:rPr>
        <w:t>Tax Consultation</w:t>
      </w:r>
      <w:r>
        <w:rPr>
          <w:rFonts w:ascii="Times New Roman" w:hAnsi="Times New Roman"/>
          <w:color w:val="000000"/>
          <w:sz w:val="22"/>
        </w:rPr>
        <w:t xml:space="preserve">. The Participant understands that the Participant may suffer adverse tax consequences in connection with the PSUs granted pursuant to this Agreement (and the Shares issuable with respect thereto). The Participant represents that the Participant has consulted with any tax consultants </w:t>
      </w:r>
    </w:p>
    <w:p>
      <w:pPr>
        <w:pStyle w:val="TextBody"/>
        <w:bidi w:val="0"/>
        <w:jc w:val="center"/>
        <w:rPr>
          <w:rFonts w:ascii="Times New Roman" w:hAnsi="Times New Roman"/>
          <w:color w:val="000000"/>
          <w:sz w:val="22"/>
        </w:rPr>
      </w:pPr>
      <w:r>
        <w:rPr>
          <w:rFonts w:ascii="Times New Roman" w:hAnsi="Times New Roman"/>
          <w:color w:val="000000"/>
          <w:sz w:val="22"/>
        </w:rPr>
        <w:t>A-3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Participant deems advisable in connection with the PSUs and the issuance of Shares with respect thereto and that the Participant is not relying on the Company for any tax advice.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3.4</w:t>
      </w:r>
    </w:p>
    <w:p>
      <w:pPr>
        <w:pStyle w:val="TextBody"/>
        <w:bidi w:val="0"/>
        <w:spacing w:before="0" w:after="240"/>
        <w:jc w:val="both"/>
        <w:rPr/>
      </w:pPr>
      <w:r>
        <w:rPr>
          <w:rFonts w:ascii="Times New Roman" w:hAnsi="Times New Roman"/>
          <w:color w:val="000000"/>
          <w:sz w:val="22"/>
          <w:u w:val="single"/>
        </w:rPr>
        <w:t>Binding Agreement</w:t>
      </w:r>
      <w:r>
        <w:rPr>
          <w:rFonts w:ascii="Times New Roman" w:hAnsi="Times New Roman"/>
          <w:color w:val="000000"/>
          <w:sz w:val="22"/>
        </w:rPr>
        <w:t>. Subject to the limitation on the transferability of the PSUs contained herein, this Agreement will be binding upon and inure to the benefit of the heirs, legatees, legal representatives, successors and assigns of the parties hereto.</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3.5</w:t>
      </w:r>
    </w:p>
    <w:p>
      <w:pPr>
        <w:pStyle w:val="TextBody"/>
        <w:bidi w:val="0"/>
        <w:spacing w:before="0" w:after="240"/>
        <w:jc w:val="both"/>
        <w:rPr/>
      </w:pPr>
      <w:r>
        <w:rPr>
          <w:rFonts w:ascii="Times New Roman" w:hAnsi="Times New Roman"/>
          <w:color w:val="000000"/>
          <w:sz w:val="22"/>
          <w:u w:val="single"/>
        </w:rPr>
        <w:t>Adjustments Upon Specified Events</w:t>
      </w:r>
      <w:r>
        <w:rPr>
          <w:rFonts w:ascii="Times New Roman" w:hAnsi="Times New Roman"/>
          <w:color w:val="000000"/>
          <w:sz w:val="22"/>
        </w:rPr>
        <w:t>. The Administrator may accelerate the vesting of the PSUs in such circumstances as it, in its sole discretion, may determine. The Participant acknowledges that the PSUs are subject to adjustment, modification and termination in certain events as provided in this Agreement and Section 12 of the Plan.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3.6</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3.7</w:t>
      </w:r>
    </w:p>
    <w:p>
      <w:pPr>
        <w:pStyle w:val="TextBody"/>
        <w:bidi w:val="0"/>
        <w:spacing w:before="0" w:after="240"/>
        <w:jc w:val="both"/>
        <w:rPr/>
      </w:pPr>
      <w:r>
        <w:rPr>
          <w:rFonts w:ascii="Times New Roman" w:hAnsi="Times New Roman"/>
          <w:color w:val="000000"/>
          <w:sz w:val="22"/>
          <w:u w:val="single"/>
        </w:rPr>
        <w:t>Participant’s Representations</w:t>
      </w:r>
      <w:r>
        <w:rPr>
          <w:rFonts w:ascii="Times New Roman" w:hAnsi="Times New Roman"/>
          <w:color w:val="000000"/>
          <w:sz w:val="22"/>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3.8</w:t>
      </w:r>
    </w:p>
    <w:p>
      <w:pPr>
        <w:pStyle w:val="TextBody"/>
        <w:bidi w:val="0"/>
        <w:spacing w:before="0" w:after="240"/>
        <w:jc w:val="both"/>
        <w:rPr/>
      </w:pP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3.9</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The laws of the State of Delaware shall govern the interpretation, validity, administration, enforcement and performance of the terms of this Agreement regardless of the law that might be applied under principles of conflicts of laws.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3.10</w:t>
      </w:r>
    </w:p>
    <w:p>
      <w:pPr>
        <w:pStyle w:val="TextBody"/>
        <w:bidi w:val="0"/>
        <w:spacing w:before="0" w:after="240"/>
        <w:jc w:val="both"/>
        <w:rPr/>
      </w:pPr>
      <w:r>
        <w:rPr>
          <w:rFonts w:ascii="Times New Roman" w:hAnsi="Times New Roman"/>
          <w:color w:val="000000"/>
          <w:sz w:val="22"/>
          <w:u w:val="single"/>
        </w:rPr>
        <w:t>Conformity to Securities Laws</w:t>
      </w:r>
      <w:r>
        <w:rPr>
          <w:rFonts w:ascii="Times New Roman" w:hAnsi="Times New Roman"/>
          <w:color w:val="000000"/>
          <w:sz w:val="22"/>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3.11</w:t>
      </w:r>
    </w:p>
    <w:p>
      <w:pPr>
        <w:pStyle w:val="TextBody"/>
        <w:bidi w:val="0"/>
        <w:spacing w:before="0" w:after="240"/>
        <w:jc w:val="both"/>
        <w:rPr/>
      </w:pPr>
      <w:r>
        <w:rPr>
          <w:rFonts w:ascii="Times New Roman" w:hAnsi="Times New Roman"/>
          <w:color w:val="000000"/>
          <w:sz w:val="22"/>
          <w:u w:val="single"/>
        </w:rPr>
        <w:t>Amendment, Suspension and Termination</w:t>
      </w:r>
      <w:r>
        <w:rPr>
          <w:rFonts w:ascii="Times New Roman" w:hAnsi="Times New Roman"/>
          <w:color w:val="000000"/>
          <w:sz w:val="22"/>
        </w:rPr>
        <w:t xml:space="preserve">. To the extent permitted by the Plan, this Agreement may be wholly or partially amended or otherwise modified, suspended or terminated at any time or from time to time by the Administrator or the Board;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except as may otherwise be provided by the Plan, no amendment, modification, suspension or termination of this Agreement shall adversely affect the PSUs in any material way without the prior written consent of the Participant.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3.12</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pStyle w:val="TextBody"/>
        <w:bidi w:val="0"/>
        <w:jc w:val="center"/>
        <w:rPr>
          <w:rFonts w:ascii="Times New Roman" w:hAnsi="Times New Roman"/>
          <w:color w:val="000000"/>
          <w:sz w:val="22"/>
        </w:rPr>
      </w:pPr>
      <w:r>
        <w:rPr>
          <w:rFonts w:ascii="Times New Roman" w:hAnsi="Times New Roman"/>
          <w:color w:val="000000"/>
          <w:sz w:val="22"/>
        </w:rPr>
        <w:t>A-4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3.13</w:t>
      </w:r>
    </w:p>
    <w:p>
      <w:pPr>
        <w:pStyle w:val="TextBody"/>
        <w:bidi w:val="0"/>
        <w:spacing w:before="0" w:after="24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or this Agreement, if the Participant is subject to Section 16 of the Exchange Act, then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3.14</w:t>
      </w:r>
    </w:p>
    <w:p>
      <w:pPr>
        <w:pStyle w:val="TextBody"/>
        <w:bidi w:val="0"/>
        <w:spacing w:before="0" w:after="240"/>
        <w:jc w:val="both"/>
        <w:rPr/>
      </w:pPr>
      <w:r>
        <w:rPr>
          <w:rFonts w:ascii="Times New Roman" w:hAnsi="Times New Roman"/>
          <w:color w:val="000000"/>
          <w:sz w:val="22"/>
          <w:u w:val="single"/>
        </w:rPr>
        <w:t>Employment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This Agreement does not confer upon the Participant any right to be retained in the employ or service of the Company or any Affiliate shall not interfere with the ability of the Participant’s employer from time to time (the “</w:t>
      </w:r>
      <w:r>
        <w:rPr>
          <w:rFonts w:ascii="Times New Roman" w:hAnsi="Times New Roman"/>
          <w:color w:val="000000"/>
          <w:sz w:val="22"/>
          <w:u w:val="single"/>
        </w:rPr>
        <w:t>Employer</w:t>
      </w:r>
      <w:r>
        <w:rPr>
          <w:color w:val="000000"/>
        </w:rPr>
        <w:t>”</w:t>
      </w:r>
      <w:r>
        <w:rPr>
          <w:rFonts w:ascii="Times New Roman" w:hAnsi="Times New Roman"/>
          <w:color w:val="000000"/>
          <w:sz w:val="22"/>
        </w:rPr>
        <w:t>) to terminate the Participant’s service at any time, with or without cause, subject to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is established voluntarily by the Company. It is discretionary in nature and it may be modified, amended, suspended or terminated by the Company at any time, unless otherwise provided in the Plan and this Agreement. The grant of the PSUs is voluntary and occasional and does not create any contractual or other right to receive future grants of Awards, or benefits in lieu of Awards, even if Awards have been granted repeatedly in the past. All decisions with respect to future grants of Awards, if any, will be at the sole discretion of the Company. The PSUs are extraordinary items that do not constitute compensation of any kind for service of any kind rendered to the Company or Affiliate, and which are outside the scope of your employment contract, if any and are not part of normal or expected compensation or salary for any purpose, including, but not limited to, calculating any severance, resignation, termination, redundancy, end-of-service payments, bonuses, long-service options, pension or retirement benefits or similar payments.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3.15</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xml:space="preserve">.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PSUs shall be subject to any accelerated vesting provisions in any written agreement between the Participant and the Company or a Company plan pursuant to which the Participant participates, in each case, in accordance with the terms therein.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3.16</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hAnsi="Times New Roman"/>
          <w:b/>
          <w:i/>
          <w:color w:val="000000"/>
          <w:sz w:val="22"/>
        </w:rPr>
        <w:t>Section 409A</w:t>
      </w:r>
      <w:r>
        <w:rPr>
          <w:color w:val="000000"/>
        </w:rPr>
        <w:t>”</w:t>
      </w:r>
      <w:r>
        <w:rPr>
          <w:rFonts w:ascii="Times New Roman" w:hAnsi="Times New Roman"/>
          <w:color w:val="000000"/>
          <w:sz w:val="22"/>
        </w:rPr>
        <w:t xml:space="preserve">).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3.17</w:t>
      </w:r>
    </w:p>
    <w:p>
      <w:pPr>
        <w:pStyle w:val="TextBody"/>
        <w:bidi w:val="0"/>
        <w:spacing w:before="0" w:after="240"/>
        <w:jc w:val="both"/>
        <w:rPr/>
      </w:pPr>
      <w:r>
        <w:rPr>
          <w:rFonts w:ascii="Times New Roman" w:hAnsi="Times New Roman"/>
          <w:color w:val="000000"/>
          <w:sz w:val="22"/>
          <w:u w:val="single"/>
        </w:rPr>
        <w:t>Limitation on Participant’s Rights</w:t>
      </w:r>
      <w:r>
        <w:rPr>
          <w:rFonts w:ascii="Times New Roman" w:hAnsi="Times New Roman"/>
          <w:color w:val="000000"/>
          <w:sz w:val="22"/>
        </w:rPr>
        <w:t xml:space="preserve">.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w:t>
      </w:r>
    </w:p>
    <w:p>
      <w:pPr>
        <w:pStyle w:val="TextBody"/>
        <w:bidi w:val="0"/>
        <w:jc w:val="center"/>
        <w:rPr>
          <w:rFonts w:ascii="Times New Roman" w:hAnsi="Times New Roman"/>
          <w:color w:val="000000"/>
          <w:sz w:val="22"/>
        </w:rPr>
      </w:pPr>
      <w:r>
        <w:rPr>
          <w:rFonts w:ascii="Times New Roman" w:hAnsi="Times New Roman"/>
          <w:color w:val="000000"/>
          <w:sz w:val="22"/>
        </w:rPr>
        <w:t>A-5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unsecured creditor of the Company and its Subsidiaries with respect to amounts credited and benefits payable, if any, with respect to the PSUs, and rights no greater than the right to receive the Shares as a general unsecured creditor with respect to PSUs, as and when payable hereunder.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3.18</w:t>
      </w:r>
    </w:p>
    <w:p>
      <w:pPr>
        <w:pStyle w:val="TextBody"/>
        <w:bidi w:val="0"/>
        <w:spacing w:before="0" w:after="240"/>
        <w:jc w:val="both"/>
        <w:rPr/>
      </w:pPr>
      <w:r>
        <w:rPr>
          <w:rFonts w:ascii="Times New Roman" w:hAnsi="Times New Roman"/>
          <w:color w:val="000000"/>
          <w:sz w:val="22"/>
          <w:u w:val="single"/>
        </w:rPr>
        <w:t>Data Privacy</w:t>
      </w:r>
      <w:r>
        <w:rPr>
          <w:rFonts w:ascii="Times New Roman" w:hAnsi="Times New Roman"/>
          <w:color w:val="000000"/>
          <w:sz w:val="22"/>
        </w:rPr>
        <w:t xml:space="preserve">. The Company and/or its Affiliates will hold, collect and otherwise process certain personal data regarding the Participant in connection with the administration of this Award and the Plan. All personal data will be treated in accordance with applicable data protection laws and regulations.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3.19</w:t>
      </w:r>
    </w:p>
    <w:p>
      <w:pPr>
        <w:pStyle w:val="TextBody"/>
        <w:bidi w:val="0"/>
        <w:spacing w:before="0" w:after="240"/>
        <w:jc w:val="both"/>
        <w:rPr/>
      </w:pPr>
      <w:r>
        <w:rPr>
          <w:rFonts w:ascii="Times New Roman" w:hAnsi="Times New Roman"/>
          <w:color w:val="000000"/>
          <w:sz w:val="22"/>
          <w:u w:val="single"/>
        </w:rPr>
        <w:t>Addendum for Participants in the People’s Republic of China</w:t>
      </w:r>
      <w:r>
        <w:rPr>
          <w:rFonts w:ascii="Times New Roman" w:hAnsi="Times New Roman"/>
          <w:color w:val="000000"/>
          <w:sz w:val="22"/>
        </w:rPr>
        <w:t>. The Participant shall co-operate with the Company and its Subsidiaries and do all things necessary or desirable, as directed by the Company or any Subsidiary (as relevant), to assist with the registration of the Plan and ancillary documents with the State Administration of Foreign Exchange.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3.20</w:t>
      </w:r>
    </w:p>
    <w:p>
      <w:pPr>
        <w:pStyle w:val="TextBody"/>
        <w:bidi w:val="0"/>
        <w:spacing w:before="0" w:after="240"/>
        <w:jc w:val="both"/>
        <w:rPr/>
      </w:pPr>
      <w:r>
        <w:rPr>
          <w:rFonts w:ascii="Times New Roman" w:hAnsi="Times New Roman"/>
          <w:color w:val="000000"/>
          <w:sz w:val="22"/>
          <w:u w:val="single"/>
        </w:rPr>
        <w:t>Addendum for Participants in the Philippines</w:t>
      </w:r>
      <w:r>
        <w:rPr>
          <w:rFonts w:ascii="Times New Roman" w:hAnsi="Times New Roman"/>
          <w:color w:val="000000"/>
          <w:sz w:val="22"/>
        </w:rPr>
        <w:t>. THE SECURITIES BEING OFFERED OR SOLD HEREIN HAVE NOT BEEN REGISTERED WITH THE SECURITIES AND EXCHANGE COMMISSION UNDER THE SECURITIES REGULATION CODE OF THE PHILIPPINES. ANY FUTURE OFFER OR SALE THEREOF IS SUBJECT TO REGISTRATION REQUIREMENTS UNDER THE CODE UNLESS SUCH OFFER OR SALE QUALIFIES AS AN EXEMPT TRANSACTION.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3.21</w:t>
      </w:r>
    </w:p>
    <w:p>
      <w:pPr>
        <w:pStyle w:val="TextBody"/>
        <w:bidi w:val="0"/>
        <w:spacing w:before="0" w:after="240"/>
        <w:jc w:val="both"/>
        <w:rPr/>
      </w:pPr>
      <w:r>
        <w:rPr>
          <w:rFonts w:ascii="Times New Roman" w:hAnsi="Times New Roman"/>
          <w:color w:val="000000"/>
          <w:sz w:val="22"/>
          <w:u w:val="single"/>
        </w:rPr>
        <w:t>Addendum for Participants in Thailand</w:t>
      </w:r>
      <w:r>
        <w:rPr>
          <w:rFonts w:ascii="Times New Roman" w:hAnsi="Times New Roman"/>
          <w:color w:val="000000"/>
          <w:sz w:val="22"/>
        </w:rPr>
        <w:t>. In conforming to any Applicable Law, the Participant acknowledges and agrees that the Administrator or any of its representatives may file, make a report, or disclose any and all relevant documents and/or information with respect to the Option, the Plan, the Participant, and/or this Agreement to any governmental regulatory body or person.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3.22</w:t>
      </w:r>
    </w:p>
    <w:p>
      <w:pPr>
        <w:pStyle w:val="TextBody"/>
        <w:bidi w:val="0"/>
        <w:spacing w:before="0" w:after="240"/>
        <w:jc w:val="both"/>
        <w:rPr/>
      </w:pPr>
      <w:r>
        <w:rPr>
          <w:rFonts w:ascii="Times New Roman" w:hAnsi="Times New Roman"/>
          <w:color w:val="000000"/>
          <w:sz w:val="22"/>
          <w:u w:val="single"/>
        </w:rPr>
        <w:t>Addendum for Participants in Australia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This offer is made under Division 1A of Part 7.12 of the </w:t>
      </w:r>
      <w:r>
        <w:rPr>
          <w:rFonts w:ascii="Times New Roman" w:hAnsi="Times New Roman"/>
          <w:i/>
          <w:color w:val="000000"/>
          <w:sz w:val="22"/>
        </w:rPr>
        <w:t>Corporation Act 2001</w:t>
      </w:r>
      <w:r>
        <w:rPr>
          <w:color w:val="000000"/>
        </w:rPr>
        <w:t xml:space="preserve"> </w:t>
      </w:r>
      <w:r>
        <w:rPr>
          <w:rFonts w:ascii="Times New Roman" w:hAnsi="Times New Roman"/>
          <w:color w:val="000000"/>
          <w:sz w:val="22"/>
        </w:rPr>
        <w:t xml:space="preserve">(Cth) as modified by </w:t>
      </w:r>
      <w:r>
        <w:rPr>
          <w:rFonts w:ascii="Times New Roman" w:hAnsi="Times New Roman"/>
          <w:i/>
          <w:color w:val="000000"/>
          <w:sz w:val="22"/>
        </w:rPr>
        <w:t xml:space="preserve">ASIC Corporations (Employee Share Schemes) Instrument 2022/1021 </w:t>
      </w:r>
      <w:r>
        <w:rPr>
          <w:rFonts w:ascii="Times New Roman" w:hAnsi="Times New Roman"/>
          <w:color w:val="000000"/>
          <w:sz w:val="22"/>
        </w:rPr>
        <w:t>(“</w:t>
      </w:r>
      <w:r>
        <w:rPr>
          <w:rFonts w:ascii="Times New Roman" w:hAnsi="Times New Roman"/>
          <w:b/>
          <w:color w:val="000000"/>
          <w:sz w:val="22"/>
        </w:rPr>
        <w:t>ESS Division</w:t>
      </w:r>
      <w:r>
        <w:rPr>
          <w:color w:val="000000"/>
        </w:rPr>
        <w:t>”</w:t>
      </w:r>
      <w:r>
        <w:rPr>
          <w:rFonts w:ascii="Times New Roman" w:hAnsi="Times New Roman"/>
          <w:color w:val="000000"/>
          <w:sz w:val="22"/>
        </w:rPr>
        <w:t>). The Participant confirms that they are entitled to receive this offer under Applicable Laws and is an “eligible ESS participant” as defined under the ESS Division.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set forth in Section 14(c) of the Plan, and to the extent permitted such that the offer of PSUs remains an offer for no monetary consideration, and not an “ESS contribution plan” as defined in the ESS Division,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Performance Stock Units.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(c)</w:t>
      </w:r>
    </w:p>
    <w:p>
      <w:pPr>
        <w:pStyle w:val="TextBody"/>
        <w:bidi w:val="0"/>
        <w:spacing w:before="0" w:after="240"/>
        <w:jc w:val="both"/>
        <w:rPr/>
      </w:pPr>
      <w:r>
        <w:rPr>
          <w:rFonts w:ascii="Times New Roman" w:hAnsi="Times New Roman"/>
          <w:color w:val="000000"/>
          <w:sz w:val="22"/>
          <w:u w:val="single"/>
        </w:rPr>
        <w:t>Subdivision 83A-C</w:t>
      </w:r>
      <w:r>
        <w:rPr>
          <w:rFonts w:ascii="Times New Roman" w:hAnsi="Times New Roman"/>
          <w:color w:val="000000"/>
          <w:sz w:val="22"/>
        </w:rPr>
        <w:t>. This is a scheme to which Subdivision 83A-C of the Income Tax Assessment Act 1997 (Cth of Australia) applies, subject to the conditions in that Act.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color w:val="000000"/>
          <w:sz w:val="22"/>
        </w:rPr>
      </w:pPr>
      <w:r>
        <w:rPr>
          <w:rFonts w:ascii="Times New Roman" w:hAnsi="Times New Roman"/>
          <w:color w:val="000000"/>
          <w:sz w:val="22"/>
        </w:rPr>
        <w:t>A-6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tygo-ex10_2.htm"/>
      <w:bookmarkStart w:id="22" w:name="kstygoex10_2"/>
      <w:bookmarkEnd w:id="21"/>
      <w:bookmarkEnd w:id="22"/>
      <w:r>
        <w:rPr>
          <w:rFonts w:ascii="Times New Roman" w:hAnsi="Times New Roman"/>
          <w:b/>
          <w:color w:val="000000"/>
          <w:sz w:val="24"/>
        </w:rPr>
        <w:t>Exhibit 10.2</w:t>
      </w:r>
      <w:r>
        <w:br w:type="page"/>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CONFIDENTIAL SEPARATION AGREEMENT AND RELEASE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Jeffrey Sullivan</w:t>
      </w:r>
      <w:r>
        <w:rPr>
          <w:rFonts w:ascii="Times New Roman" w:hAnsi="Times New Roman"/>
          <w:color w:val="000000"/>
          <w:sz w:val="20"/>
        </w:rPr>
        <w:t xml:space="preserve"> </w:t>
      </w:r>
      <w:r>
        <w:rPr>
          <w:rFonts w:ascii="Times New Roman" w:hAnsi="Times New Roman"/>
          <w:color w:val="000000"/>
          <w:sz w:val="24"/>
        </w:rPr>
        <w:t xml:space="preserve">(hereinafter “Employee”) was employed by Tigo Energy, Inc. (“Company”) until on or about </w:t>
      </w:r>
      <w:r>
        <w:rPr>
          <w:rFonts w:ascii="Times New Roman" w:hAnsi="Times New Roman"/>
          <w:b/>
          <w:color w:val="000000"/>
          <w:sz w:val="24"/>
        </w:rPr>
        <w:t>October 11, 2024</w:t>
      </w:r>
      <w:r>
        <w:rPr>
          <w:rFonts w:ascii="Times New Roman" w:hAnsi="Times New Roman"/>
          <w:color w:val="000000"/>
          <w:sz w:val="20"/>
        </w:rPr>
        <w:t xml:space="preserve"> </w:t>
      </w:r>
      <w:r>
        <w:rPr>
          <w:rFonts w:ascii="Times New Roman" w:hAnsi="Times New Roman"/>
          <w:color w:val="000000"/>
          <w:sz w:val="24"/>
        </w:rPr>
        <w:t xml:space="preserve">(the “Employment”). Employee's Employment with the Company ended on or about </w:t>
      </w:r>
      <w:r>
        <w:rPr>
          <w:rFonts w:ascii="Times New Roman" w:hAnsi="Times New Roman"/>
          <w:b/>
          <w:color w:val="000000"/>
          <w:sz w:val="24"/>
        </w:rPr>
        <w:t>October 11, 2024</w:t>
      </w:r>
      <w:r>
        <w:rPr>
          <w:rFonts w:ascii="Times New Roman" w:hAnsi="Times New Roman"/>
          <w:color w:val="000000"/>
          <w:sz w:val="20"/>
        </w:rPr>
        <w:t xml:space="preserve"> </w:t>
      </w:r>
      <w:r>
        <w:rPr>
          <w:rFonts w:ascii="Times New Roman" w:hAnsi="Times New Roman"/>
          <w:color w:val="000000"/>
          <w:sz w:val="24"/>
        </w:rPr>
        <w:t>(the “Separation”).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purpose of this Separation Agreement and Release (hereinafter “Agreement”) is to set forth the terms and provisions of a severance agreement agreed to between Employee and Company, in connection with the Employee’s Employment with and Separation from Employment with Company and to waive and release any claims by the Employee against Company (Employee and Company are collectively hereinafter referred to as the “Parties”).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and exchange for the promises, covenants, and releases contained herein, the Parties mutually agree as follows:</w:t>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left"/>
        <w:rPr/>
      </w:pPr>
      <w:r>
        <w:rPr>
          <w:rFonts w:ascii="Times New Roman" w:hAnsi="Times New Roman"/>
          <w:color w:val="000000"/>
          <w:sz w:val="24"/>
          <w:u w:val="single"/>
        </w:rPr>
        <w:t>Non-Admission of Liability</w:t>
      </w:r>
      <w:r>
        <w:rPr>
          <w:rFonts w:ascii="Times New Roman" w:hAnsi="Times New Roman"/>
          <w:color w:val="000000"/>
          <w:sz w:val="24"/>
        </w:rPr>
        <w:t>. Employee acknowledges that Company denies any wrongdoing whatsoever in connection with Employee’s Employment and Separation. It is expressly understood and agreed that nothing contained in this Agreement shall constitute or be treated as an admission of any wrongdoing or liability on the part of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left"/>
        <w:rPr/>
      </w:pPr>
      <w:r>
        <w:rPr>
          <w:rFonts w:ascii="Times New Roman" w:hAnsi="Times New Roman"/>
          <w:color w:val="000000"/>
          <w:sz w:val="24"/>
          <w:u w:val="single"/>
        </w:rPr>
        <w:t>Severance Benefits</w:t>
      </w:r>
      <w:r>
        <w:rPr>
          <w:rFonts w:ascii="Times New Roman" w:hAnsi="Times New Roman"/>
          <w:color w:val="000000"/>
          <w:sz w:val="24"/>
        </w:rPr>
        <w:t>. As consideration for the Employee’s execution of this Agreement, Company will provide Employee the following benefits: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Lump Sum Payment</w:t>
      </w:r>
      <w:r>
        <w:rPr>
          <w:rFonts w:ascii="Times New Roman" w:hAnsi="Times New Roman"/>
          <w:color w:val="000000"/>
          <w:sz w:val="24"/>
        </w:rPr>
        <w:t xml:space="preserve">. Pay Employee within ten (10) business days after the Effective Date of this Agreement the sum of </w:t>
      </w:r>
      <w:r>
        <w:rPr>
          <w:rFonts w:ascii="Times New Roman" w:hAnsi="Times New Roman"/>
          <w:b/>
          <w:color w:val="000000"/>
          <w:sz w:val="24"/>
        </w:rPr>
        <w:t>$70,001.00 (seventy thousand one dollars)</w:t>
      </w:r>
      <w:r>
        <w:rPr>
          <w:color w:val="000000"/>
        </w:rPr>
        <w:t xml:space="preserve"> </w:t>
      </w:r>
      <w:r>
        <w:rPr>
          <w:rFonts w:ascii="Times New Roman" w:hAnsi="Times New Roman"/>
          <w:color w:val="000000"/>
          <w:sz w:val="24"/>
        </w:rPr>
        <w:t>(the “Severance Payment”) (minus applicable withholdings) payable to Employee (to be reported on IRS Form W-2, subject to regular and applicable withholdings). The Parties agree that Employee shall be responsible for any tax liabilities that might be asserted with respect to the Severance Payment. Employee agrees to indemnify and hold harmless Company for any tax liability imposed, or any related penalty assessed, relating to this payment. Any employment relationship between Employee and Company has ended, and the issuance of a check as part of this Agreement, does not, for any reason, re-establish Employee’s status as an employee.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COBRA</w:t>
      </w:r>
      <w:r>
        <w:rPr>
          <w:rFonts w:ascii="Times New Roman" w:hAnsi="Times New Roman"/>
          <w:color w:val="000000"/>
          <w:sz w:val="24"/>
        </w:rPr>
        <w:t xml:space="preserve">. If eligible, Employee will be given the opportunity to elect continuation of healthcare benefits pursuant to the Consolidated Omnibus Budget Reconciliation Act of 1985, as amended, or the applicable state equivalent (together, “COBRA”). Provided Employee makes a timely COBRA election, the Company will pay Employee's COBRA premiums for a period of </w:t>
      </w:r>
      <w:r>
        <w:rPr>
          <w:rFonts w:ascii="Times New Roman" w:hAnsi="Times New Roman"/>
          <w:b/>
          <w:color w:val="000000"/>
          <w:sz w:val="24"/>
        </w:rPr>
        <w:t>2 (two) months</w:t>
      </w:r>
      <w:r>
        <w:rPr>
          <w:rFonts w:ascii="Times New Roman" w:hAnsi="Times New Roman"/>
          <w:color w:val="000000"/>
          <w:sz w:val="24"/>
        </w:rPr>
        <w:t xml:space="preserve">, initiating with the first premium due date that occurs after the parties have signed this Agreement. Following the Company's completion of the above premium payments, any applicable COBRA premiums or administrative charges will be the sole responsibility of Employee.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Vested Equity</w:t>
      </w:r>
      <w:r>
        <w:rPr>
          <w:rFonts w:ascii="Times New Roman" w:hAnsi="Times New Roman"/>
          <w:color w:val="000000"/>
          <w:sz w:val="24"/>
        </w:rPr>
        <w:t xml:space="preserve">. Employee will be entitled to all vested equity pursuant to the previous equity grant(s) between the Company and Employee as of the date of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Separation pursuant to the terms of the separate equity grant plan or program. Vesting of any equity will cease as of the date of Separation. All terms of the applicable equity agreement(s) between the Company and Employee shall apply.</w:t>
      </w:r>
    </w:p>
    <w:p>
      <w:pPr>
        <w:pStyle w:val="TextBody"/>
        <w:bidi w:val="0"/>
        <w:spacing w:before="0" w:after="240"/>
        <w:jc w:val="left"/>
        <w:rPr>
          <w:rFonts w:ascii="Times New Roman" w:hAnsi="Times New Roman"/>
          <w:sz w:val="20"/>
        </w:rPr>
      </w:pPr>
      <w:r>
        <w:rPr>
          <w:rFonts w:ascii="Times New Roman" w:hAnsi="Times New Roman"/>
          <w:color w:val="000000"/>
          <w:sz w:val="24"/>
        </w:rPr>
        <w:t>By signing this Agreement, Employee agrees that the Severance Benefits are additional compensation that Employee would not otherwise be entitled to and are not provided for under any Company policy, program, plan, or other arrangement or practice.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left"/>
        <w:rPr/>
      </w:pPr>
      <w:r>
        <w:rPr>
          <w:rFonts w:ascii="Times New Roman" w:hAnsi="Times New Roman"/>
          <w:color w:val="000000"/>
          <w:sz w:val="24"/>
          <w:u w:val="single"/>
        </w:rPr>
        <w:t>Release of All Claims by Employee</w:t>
      </w:r>
      <w:r>
        <w:rPr>
          <w:rFonts w:ascii="Times New Roman" w:hAnsi="Times New Roman"/>
          <w:color w:val="000000"/>
          <w:sz w:val="24"/>
        </w:rPr>
        <w:t>. In consideration for the promises set forth above, Employee, for Employee and Employee’s heirs, successors and assigns, does hereby waive, release, acquit, and forever discharge Company and its respective parents, heirs, assigns, subsidiaries, affiliates, and related entities or corporations, and any of their past and present officers, directors, shareholders, employers, employees, agents, partners, attorneys, insurers, heirs, successors, and assigns (hereinafter the “Released Parties”), from any and all claims, actions, charges, complaints, grievances, and causes of action (hereinafter collectively referred to as “Claims”), of whatever nature, whether known or unknown, which exist or may exist on Employee’s behalf as of the date of this Agreement, including but not limited to, any claims for back pay, liquidated damages, compensatory damages, or any other losses or other damages to Employee or Employee’s property resulting from any claimed violation of local, state, or federal law, including, for example (but not limited to), claims arising under Title VII of the Civil Rights Act of 1964 and the Civil Rights Act of 1991, 42 U.S.C. § 2000e et seq.; 42 U.S.C. § 1981; the Americans with Disabilities Act of 1990, 42 U.S.C. § 12101 et seq., amended by the Americans With Disabilities Act Amendments Act of 2008; the Age Discrimination in Employment Act of 1967; the National Labor Relations Act; the Uniformed Services Employment and Reemployment Rights Act of 1994, 38 U.S.C. § 4301 et seq.; the Employee Retirement Income Security Act of 1974, 29 U.S.C. § 1001 et seq.; the Worker Adjustment and Retraining Notification Act, 29 U.S.C. § 2101 et seq. ; the Internal Revenue Code of 1986; the Family and Medical Leave Act of 1993, 29 U.S.C. § 2601 et seq.; the Fair Labor Standards Act, 29 U.S.C. § 213 et seq. (including the Equal Pay Act of 1963); the Fair Credit Reporting Act, 15 U.S.C. § 1681, the Patient Protection and Affordable Care Act 42 U.S.C. § 18001 et seq.; Sarbanes-Oxley Public Company Accounting Reform and Investor Protection Act of 2002, 15 U.S.C. § 7241 et seq.; the Genetic Information Nondiscrimination Act of 2008, 42 U.S.C. 2000ff; The False Claims Act of 1986, 31 U.S.C. § 3729 et seq.; the California Labor Code, the California Fair Employment and Housing Act, the federal or California Worker Adjustment Retraining Act, the California Industrial Welfare Commission Wage Orders, California Business and Professions Code, the California Private Attorney General Act, the California Family Rights Act, and any other Claims under federal, state, or local statutory, common law or equity, including but not limited to claims of breach of contract or duty, promissory estoppel, fraud, misrepresentation, intentional or negligent infliction of emotional distress, wrongful or retaliatory discharge, defamation, slander, invasion of privacy, negligence, assault, and battery. The foregoing release of Claims expressly includes a waiver of any right to recovery for the Claims released herein in any and all private causes of action and/or charges and/or in any and all complaints filed with, or by, any governmental agency and/or other person or tribunal.</w:t>
      </w:r>
    </w:p>
    <w:p>
      <w:pPr>
        <w:pStyle w:val="TextBody"/>
        <w:bidi w:val="0"/>
        <w:spacing w:before="0" w:after="240"/>
        <w:jc w:val="left"/>
        <w:rPr>
          <w:rFonts w:ascii="Times New Roman" w:hAnsi="Times New Roman"/>
          <w:sz w:val="20"/>
        </w:rPr>
      </w:pPr>
      <w:r>
        <w:rPr>
          <w:rFonts w:ascii="Times New Roman" w:hAnsi="Times New Roman"/>
          <w:color w:val="000000"/>
          <w:sz w:val="24"/>
        </w:rPr>
        <w:t>To the fullest extent permitted by law, Employee agrees that Employee will not institute or initiate any action, administrative action, grievance, or other suit against the Released Parties with any state, federal, or local court or agency or other tribunal related to claims released</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left"/>
        <w:rPr>
          <w:rFonts w:ascii="Times New Roman" w:hAnsi="Times New Roman"/>
          <w:sz w:val="20"/>
        </w:rPr>
      </w:pPr>
      <w:r>
        <w:rPr>
          <w:rFonts w:ascii="Times New Roman" w:hAnsi="Times New Roman"/>
          <w:color w:val="000000"/>
          <w:sz w:val="24"/>
        </w:rPr>
        <w:t>through this Agreement. This provision shall not affect or interfere with Employee’s right to file a charge with the Equal Employment Opportunity Commission or participate, cooperate, or assist in an investigation or proceeding conducted by any federal or state enforcement agency; but Employee knowingly and voluntarily waives the right to any form of recovery or compensation in any such action arising from or related to Employee’s Employment with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This release also encompasses any right by Employee to seek any wages or other compensation under any provision of state or federal law and that any claim to such wages is subject to a good faith dispute and therefore subject to release under Labor Code section 206.5. Employee expressly affirms that Employee has been paid all compensation which Employee is owed or is or was in any way entitled relating to Employee’s Employment with Company, including but not limited to regular compensation, reimbursements, salary, and/or bonus payments and any associated penalties, and waives any right to seek any such compensation or penalties.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the Employee is a party to, or is a member of a class that institutes any claim or action against the Released Parties arising from conduct which predates this Agreement, Employee agrees that Employee’s claims shall be dismissed or class membership terminated immediately upon presentation of this Agreement, and Employee shall execute any papers necessary to achieve this end.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certifies that Employee has not experienced a job-related illness or injury for which Employee has not already filed a claim.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claim is not subject to release, to the extent permitted by law, Employee acknowledges and agrees that by virtue of this settlement Employee is no longer an aggrieved party and waives any right to participate in any representative action based on such a claim in which Company, including any and all parent corporation, affiliates, subsidiaries, managers, divisions, predecessors, insurers, successors and assigns, and each of their current and former employees, attorneys, officers, directors and agents thereof, both individually and in their business capacities, and their employee benefit plans and programs and the trustees, administrators, fiduciaries and insurers of such plans and programs, is a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Besides waiving and releasing the claims above, Employee represents and warrants that Employee has not filed, and agrees that Employee will not file, or cause to be filed, any letter with the Labor Workforce Development Agency (“LWDA”), judicial complaint or lawsuit involving any claims released in this Agreement or any claims seeking any civil penalties on behalf of Employee or any third party, and agrees to withdraw any LWDA letters, judicial complaints or lawsuits that have been filed, if any, prior to the Effective Date of this Agreement. The Parties may bring a claim against the other party to enforce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further agrees not to initiate, encourage, cause, or direct, other individual(s), including but not limited to Company’s current or former employees to file any lawsuit, charge, complaint, claim, petition, or accusatory pleading against Company except as may be required pursuant to a lawfully served subpoena or as expressly permitted under section 7 of the NLRA or other applicable state or federal law.</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left"/>
        <w:rPr/>
      </w:pPr>
      <w:r>
        <w:rPr>
          <w:rFonts w:ascii="Times New Roman" w:hAnsi="Times New Roman"/>
          <w:color w:val="000000"/>
          <w:sz w:val="24"/>
          <w:u w:val="single"/>
        </w:rPr>
        <w:t>Release of Age Discrimination Claim by Employee</w:t>
      </w:r>
      <w:r>
        <w:rPr>
          <w:rFonts w:ascii="Times New Roman" w:hAnsi="Times New Roman"/>
          <w:color w:val="000000"/>
          <w:sz w:val="24"/>
        </w:rPr>
        <w:t>. Employee agrees to the release of all known and unknown claims, including expressly the waiver of any rights or claims arising out of the Federal Age Discrimination in Employment Act (“ADEA,”) 29 U.S.C. § 621, et seq.), and the Older Workers Benefit Protection Act (“OWBPA”) and in connection with such waiver: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is hereby advised to consult with an attorney prior to signing this Agreement and Employee represents that Employee has had an opportunity to fully discussed all aspects of this Agreement with an attorney.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Employee shall have a period of twenty-one (21) days from the date of receipt of this Agreement in which to consider the terms of the Agreement. Employee may agree to waive that period of consideration. Employee understands and agrees that any modifications, material or otherwise, made to this Agreement do not restart or affect in any manner this twenty-one (21)-day review period.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may revoke Employee’s waiver and release of ADEA claims contained in this Agreement at any time during the first seven (7) days following Employee’s execution of this Agreement, and the ADEA waiver and release shall not be effective or enforceable until the seven-day period has expired.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Employee acknowledges that Employee was provided a written Report that describes the classes, departments or groups of employees affected by the Reduction, any selection factors for the Reduction and any time limits applicable, the job titles and ages of all employees selected for the Reduction, and the ages of all employees in the same job classification or department who were not selected.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revoke this Agreement, Employee must provide a written notice of Employee’s revocation to at with a copy to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color w:val="000000"/>
          <w:sz w:val="24"/>
          <w:u w:val="single"/>
        </w:rPr>
        <w:t>Waiver of California Civil Code § 1542 Rights</w:t>
      </w:r>
      <w:r>
        <w:rPr>
          <w:rFonts w:ascii="Times New Roman" w:hAnsi="Times New Roman"/>
          <w:color w:val="000000"/>
          <w:sz w:val="24"/>
        </w:rPr>
        <w:t xml:space="preserve">. Employee also specifically acknowledges that Employee is aware of and expressly waives all rights and benefits conferred on Employee now or in the future under the provisions of California Civil Code Section 1542, which provides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Employee, being aware of this section, hereby relinquishes all rights and benefits Employee may have based thereon and upon any other statutes or common law principles of similar effect. Employee does not waive any rights or claims that may arise after the date this Agreement is executed.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left"/>
        <w:rPr/>
      </w:pPr>
      <w:r>
        <w:rPr>
          <w:rFonts w:ascii="Times New Roman" w:hAnsi="Times New Roman"/>
          <w:color w:val="000000"/>
          <w:sz w:val="24"/>
          <w:u w:val="single"/>
        </w:rPr>
        <w:t>Ownership of Claims/No Pending Claims</w:t>
      </w:r>
      <w:r>
        <w:rPr>
          <w:rFonts w:ascii="Times New Roman" w:hAnsi="Times New Roman"/>
          <w:color w:val="000000"/>
          <w:sz w:val="24"/>
        </w:rPr>
        <w:t xml:space="preserve">. Employee represents and warrants that Employee is the sole and lawful owner of all rights, title, and interest in and to all released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left"/>
        <w:rPr/>
      </w:pPr>
      <w:r>
        <w:rPr>
          <w:rFonts w:ascii="Times New Roman" w:hAnsi="Times New Roman"/>
          <w:color w:val="000000"/>
          <w:sz w:val="24"/>
        </w:rPr>
        <w:t>matters and potential claims referred to herein. Employee further represents and warrants that there has been no assignment or other transfer of any interest in any such matters and/or potential claims which Employee may have against Company.</w:t>
      </w:r>
      <w:r>
        <w:rPr>
          <w:color w:val="000000"/>
        </w:rPr>
        <w:t xml:space="preserve"> </w:t>
      </w:r>
      <w:r>
        <w:rPr>
          <w:rFonts w:ascii="Times New Roman" w:hAnsi="Times New Roman"/>
          <w:color w:val="000000"/>
          <w:sz w:val="24"/>
        </w:rPr>
        <w:t>Employee further represents and warrants that there are no pending claims, charges, or complaints with any administrative agency or court. If any agency or court assumes jurisdiction over, or files any claims, charges, or complaints against Company on Employee’s behalf, Employee will request, in writing, that such agency or court withdraw the matter to the extent those claims, charges, or complaints have been released herein.</w:t>
      </w:r>
      <w:r>
        <w:rPr>
          <w:color w:val="00000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color w:val="000000"/>
          <w:sz w:val="24"/>
          <w:u w:val="single"/>
        </w:rPr>
        <w:t>Non-Disparagement/Neutral Reference</w:t>
      </w:r>
      <w:r>
        <w:rPr>
          <w:rFonts w:ascii="Times New Roman" w:hAnsi="Times New Roman"/>
          <w:color w:val="000000"/>
          <w:sz w:val="24"/>
        </w:rPr>
        <w:t>. Employee agrees that Employee will not make, or cause to be made, any disparaging or defamatory statements, either orally or in writing, to any third party concerning Company or any of Company’s officers, directors, employees, or agents. By this promise, Employee agrees not to make any disparaging or defamatory statements concerning Company’s agents, representatives, employees, services, methods of doing business, or employment practices. Nothing in this agreement prevents Employee from discussing or disclosing information about unlawful acts in the workplace, such as harassment or discrimination, or any other conduct that Employee has reason to believe is unlawful. Nothing in this provision shall limit Employee from in any way disclosing or discussing any information related to Employee's exercise of Employee's rights under Section 7 of the National Labor Relations Act or otherwise in any way impede Employee's exercise of rights under Section 7.</w:t>
      </w:r>
    </w:p>
    <w:p>
      <w:pPr>
        <w:pStyle w:val="TextBody"/>
        <w:bidi w:val="0"/>
        <w:spacing w:before="0" w:after="240"/>
        <w:jc w:val="left"/>
        <w:rPr>
          <w:rFonts w:ascii="Times New Roman" w:hAnsi="Times New Roman"/>
          <w:sz w:val="20"/>
        </w:rPr>
      </w:pPr>
      <w:r>
        <w:rPr>
          <w:rFonts w:ascii="Times New Roman" w:hAnsi="Times New Roman"/>
          <w:color w:val="000000"/>
          <w:sz w:val="24"/>
        </w:rPr>
        <w:t>Company agrees to provide Employee with a neutral employment reference. The Parties further agree that, should Company be contacted for the purpose of obtaining an employment reference regarding Employee, Company will provide Employee’s dates of employment and job title to any inquiring parties. Employee should refer any employment inquiries to at .</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understand that this provision is a material term of the Agreement. The Parties agree that, in addition to any other remedies that may be available in law, equity, or otherwise, each Party may be entitled to equitable relief, including injunctive relief, in the event of any breach or imminent breach of this provision by the other Party.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left"/>
        <w:rPr/>
      </w:pPr>
      <w:r>
        <w:rPr>
          <w:rFonts w:ascii="Times New Roman" w:hAnsi="Times New Roman"/>
          <w:color w:val="000000"/>
          <w:sz w:val="24"/>
          <w:u w:val="single"/>
        </w:rPr>
        <w:t>Confidentiality</w:t>
      </w:r>
      <w:r>
        <w:rPr>
          <w:rFonts w:ascii="Times New Roman" w:hAnsi="Times New Roman"/>
          <w:color w:val="000000"/>
          <w:sz w:val="24"/>
        </w:rPr>
        <w:t xml:space="preserve">. Employee agrees not to voluntarily reveal to anyone (unless compelled to do so by valid legal process), and to otherwise keep confidential, the specific terms of the Agreement (other than the confidentiality provision), including, but not limited to, the promises made and the sums paid (as recited above). Notwithstanding the foregoing, Employee may reveal the terms of the Agreement to Employee’s accountant, financial professionals, spouse, attorneys, and/or the Internal Revenue Service, or applicable state Department of Revenue. If Employee discloses any term to any individuals listed herein (not including governmental entities such as the IRS or Department of Revenue), Employee will notify said individuals of the terms of the confidentiality provision and inform them of their obligation to keep these terms confidential. Employee further agrees, absent a court order, that the only information regarding the Agreement that Employee may provide to any person or entity not listed above is that “the terms of the Agreement are confidential.” Employee agrees to give written notice to Company if Employee is required pursuant to a subpoena or court order to reveal any information regarding Employee’s work for Company, or anything related to the Severance and Release Agreement, prior to providing such information. Nothing in this Agreement prohibits Employee from disclosing or discussing any facts relating to a claim of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sexual harassment, discrimination, or retaliation in the workplace brought by the Employee or prevents Employee from disclosing a claim of sexual harassment, discrimination, or retaliation occurring in the workplace or at a work-related event coordinated by or through the Company. Nothing in this provision shall limit Employee from in any way disclosing or discussing any information related to Employee's exercise of Employee's rights under Section 7 of the National Labor Relations Act or otherwise in any way impede Employee's exercise of rights under Section 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understands that the covenant of confidentiality contained in the Agreement is a material inducement for entering into the Agreement and that, for the breach thereof, Company may suffer irreparable harm for which damages would be an inadequate remedy. Employee agrees that, in addition to any other remedies that may be available in law, equity, or otherwise, Company may be entitled to equitable relief, including injunctive relief, in the event of any breach or imminent breach of the Agreement.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left"/>
        <w:rPr/>
      </w:pPr>
      <w:r>
        <w:rPr>
          <w:rFonts w:ascii="Times New Roman" w:hAnsi="Times New Roman"/>
          <w:color w:val="000000"/>
          <w:sz w:val="24"/>
          <w:u w:val="single"/>
        </w:rPr>
        <w:t>Company Property/Information</w:t>
      </w:r>
      <w:r>
        <w:rPr>
          <w:rFonts w:ascii="Times New Roman" w:hAnsi="Times New Roman"/>
          <w:color w:val="000000"/>
          <w:sz w:val="24"/>
        </w:rPr>
        <w:t xml:space="preserve">. Employee hereby represents and warrants that as of the Effective Date and to the best of Employee’s knowledge, Employee has returned to Company all Company property and documents in Employee’s possession including, but not limited to, Company files, notes, records, computer recorded information, tangible property, credit cards, entry cards, pagers, identification badges, laptop computers, cellular phones, and keys. Employee agrees that Employee will destroy the original and all copies of any email communications that Employee created or received by virtue of and during Employee’s employment with Company within 48 hours of execution of the Agreement. Employee also agrees to provide to Company contemporaneously with the execution of the Agreement, if Employee has not earlier done so, all passwords or other codes necessary for Company to gain access to any and all software or data maintained or stored in Company’s computer system. Employee further affirms that he/she is in possession of all personal property and that no such personal property is in the Company’s possession.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left"/>
        <w:rPr/>
      </w:pPr>
      <w:r>
        <w:rPr>
          <w:rFonts w:ascii="Times New Roman" w:hAnsi="Times New Roman"/>
          <w:color w:val="000000"/>
          <w:sz w:val="24"/>
          <w:u w:val="single"/>
        </w:rPr>
        <w:t>Reasonable Cooperation</w:t>
      </w:r>
      <w:r>
        <w:rPr>
          <w:rFonts w:ascii="Times New Roman" w:hAnsi="Times New Roman"/>
          <w:color w:val="000000"/>
          <w:sz w:val="24"/>
        </w:rPr>
        <w:t xml:space="preserve">. Employee will provide reasonable cooperation to Company related to any business or other issues that arose during the Employment for which Employee had responsibility or involvement.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It is expressly understood and agreed by the Parties that this Agreement and all of its terms shall be binding upon each Parties’ representatives, heirs, executors, administrators, successors, and assigns.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left"/>
        <w:rPr/>
      </w:pPr>
      <w:r>
        <w:rPr>
          <w:rFonts w:ascii="Times New Roman" w:hAnsi="Times New Roman"/>
          <w:color w:val="000000"/>
          <w:sz w:val="24"/>
          <w:u w:val="single"/>
        </w:rPr>
        <w:t>Attorney’s Fees</w:t>
      </w:r>
      <w:r>
        <w:rPr>
          <w:rFonts w:ascii="Times New Roman" w:hAnsi="Times New Roman"/>
          <w:color w:val="000000"/>
          <w:sz w:val="24"/>
        </w:rPr>
        <w:t>. In the event that any Party to this Agreement asserts a claim for breach of this Agreement or seeks to enforce its terms, the prevailing Party in any such proceeding shall be entitled to recover Employee’s or its costs and reasonable attorney’s fees.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40"/>
        <w:jc w:val="left"/>
        <w:rPr/>
      </w:pPr>
      <w:r>
        <w:rPr>
          <w:rFonts w:ascii="Times New Roman" w:hAnsi="Times New Roman"/>
          <w:color w:val="000000"/>
          <w:sz w:val="24"/>
          <w:u w:val="single"/>
        </w:rPr>
        <w:t>Consultation with Counsel</w:t>
      </w:r>
      <w:r>
        <w:rPr>
          <w:rFonts w:ascii="Times New Roman" w:hAnsi="Times New Roman"/>
          <w:color w:val="000000"/>
          <w:sz w:val="24"/>
        </w:rPr>
        <w:t xml:space="preserve">. The Parties, and each of them, acknowledge that they have had the opportunity to consult with legal counsel of their choice prior to execution and delivery of this Agreement. This Agreement is to be interpreted as if both Parties have participated equally in the drafting of the Agreement and all its terms.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0" w:after="240"/>
        <w:jc w:val="left"/>
        <w:rPr/>
      </w:pPr>
      <w:r>
        <w:rPr>
          <w:rFonts w:ascii="Times New Roman" w:hAnsi="Times New Roman"/>
          <w:color w:val="000000"/>
          <w:sz w:val="24"/>
          <w:u w:val="single"/>
        </w:rPr>
        <w:t>Headings</w:t>
      </w:r>
      <w:r>
        <w:rPr>
          <w:rFonts w:ascii="Times New Roman" w:hAnsi="Times New Roman"/>
          <w:color w:val="000000"/>
          <w:sz w:val="24"/>
        </w:rPr>
        <w:t>. The headings in each paragraph herein are for convenience of reference only and shall be of no legal effect in the interpretation of the terms hereof.</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0" w:after="240"/>
        <w:jc w:val="left"/>
        <w:rPr/>
      </w:pPr>
      <w:r>
        <w:rPr>
          <w:rFonts w:ascii="Times New Roman" w:hAnsi="Times New Roman"/>
          <w:color w:val="000000"/>
          <w:sz w:val="24"/>
          <w:u w:val="single"/>
        </w:rPr>
        <w:t>Integration</w:t>
      </w:r>
      <w:r>
        <w:rPr>
          <w:rFonts w:ascii="Times New Roman" w:hAnsi="Times New Roman"/>
          <w:color w:val="000000"/>
          <w:sz w:val="24"/>
        </w:rPr>
        <w:t>. This Agreement embodies the entire agreement of all the Parties hereto who have executed it and supersedes any and all other agreements, understandings, negotiations, or discussions, either oral or in writing, express or implied, between the Parties to this Agreement. The Parties to this Agreement each acknowledge that no representations, inducements, promises, agreements, or warranties, oral or otherwise, have been made by them, or anyone acting on their behalf, which are not embodied in this Agreement; that they have not executed this Agreement in reliance on any representation, inducement, promise, agreements, warranty, fact, or circumstances not expressly set forth in this Agreement; and that no representation, inducement, promise, agreement, or warranty not contained in this Agreement including, but not limited to, any purported settlements, modifications, waivers, or terminations of this Agreement, shall be valid or binding, unless executed in writing by all of the Parties to this Agreement. This Agreement may be amended, and any provision herein waived, but only in writing, signed by the party against whom such an amendment or waiver is sought to be enforced.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0" w:after="240"/>
        <w:jc w:val="left"/>
        <w:rPr/>
      </w:pPr>
      <w:r>
        <w:rPr>
          <w:rFonts w:ascii="Times New Roman" w:hAnsi="Times New Roman"/>
          <w:color w:val="000000"/>
          <w:sz w:val="24"/>
          <w:u w:val="single"/>
        </w:rPr>
        <w:t>Severability</w:t>
      </w:r>
      <w:r>
        <w:rPr>
          <w:rFonts w:ascii="Times New Roman" w:hAnsi="Times New Roman"/>
          <w:color w:val="000000"/>
          <w:sz w:val="24"/>
        </w:rPr>
        <w:t>. If any provision in this Agreement is found to be unenforceable, it shall not affect the enforceability of the remaining provisions and the Court shall enforce the remaining provisions to the extent permitted by law.</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and each such counterpart shall be deemed an original with the same effect as if all Parties had signed the same document.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0" w:after="240"/>
        <w:jc w:val="left"/>
        <w:rPr/>
      </w:pPr>
      <w:r>
        <w:rPr>
          <w:rFonts w:ascii="Times New Roman" w:hAnsi="Times New Roman"/>
          <w:color w:val="000000"/>
          <w:sz w:val="24"/>
          <w:u w:val="single"/>
        </w:rPr>
        <w:t>Voluntary Agreement</w:t>
      </w:r>
      <w:r>
        <w:rPr>
          <w:rFonts w:ascii="Times New Roman" w:hAnsi="Times New Roman"/>
          <w:color w:val="000000"/>
          <w:sz w:val="24"/>
        </w:rPr>
        <w:t>. Employee understands and agrees that Employee may be waiving significant legal rights by signing this Agreement and represents that Employee has entered into this Agreement voluntarily, having had the opportunity to consult with an attorney, with a full understanding of and in agreement with all of its terms.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0" w:after="240"/>
        <w:jc w:val="left"/>
        <w:rPr/>
      </w:pPr>
      <w:r>
        <w:rPr>
          <w:rFonts w:ascii="Times New Roman" w:hAnsi="Times New Roman"/>
          <w:color w:val="000000"/>
          <w:sz w:val="24"/>
          <w:u w:val="single"/>
        </w:rPr>
        <w:t>Effective Date</w:t>
      </w:r>
      <w:r>
        <w:rPr>
          <w:rFonts w:ascii="Times New Roman" w:hAnsi="Times New Roman"/>
          <w:color w:val="000000"/>
          <w:sz w:val="24"/>
        </w:rPr>
        <w:t xml:space="preserve">. This Agreement shall be effective on the eighth day after it is signed by Employee.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0" w:after="240"/>
        <w:jc w:val="left"/>
        <w:rPr/>
      </w:pPr>
      <w:r>
        <w:rPr>
          <w:rFonts w:ascii="Times New Roman" w:hAnsi="Times New Roman"/>
          <w:color w:val="000000"/>
          <w:sz w:val="24"/>
          <w:u w:val="single"/>
        </w:rPr>
        <w:t>Governing Law</w:t>
      </w:r>
      <w:r>
        <w:rPr>
          <w:rFonts w:ascii="Times New Roman" w:hAnsi="Times New Roman"/>
          <w:color w:val="000000"/>
          <w:sz w:val="24"/>
        </w:rPr>
        <w:t xml:space="preserve">. This Agreement, in all respects, shall be interpreted, enforced and governed by and under the laws of the state of California.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i/>
          <w:color w:val="000000"/>
          <w:sz w:val="20"/>
        </w:rPr>
      </w:pPr>
      <w:r>
        <w:rPr>
          <w:rFonts w:ascii="Times New Roman" w:hAnsi="Times New Roman"/>
          <w:i/>
          <w:color w:val="000000"/>
          <w:sz w:val="20"/>
        </w:rPr>
        <w:t>FORM –INDIVIDUAL SEPARATION/OVER 40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executed this Confidential Separation Agreement and Release on the dates indicated below.</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TIGO ENERGY,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September 26, 2024 </w:t>
      </w: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Zvi Alon </w:t>
      </w:r>
      <w:r>
        <w:rPr>
          <w:rFonts w:ascii="Times New Roman" w:hAnsi="Times New Roman"/>
          <w:color w:val="000000"/>
          <w:sz w:val="24"/>
        </w:rPr>
        <w:br/>
        <w:t>Zvi Alon, Chief Executive Officer</w:t>
      </w:r>
    </w:p>
    <w:p>
      <w:pPr>
        <w:pStyle w:val="TextBody"/>
        <w:bidi w:val="0"/>
        <w:spacing w:before="0" w:after="504"/>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October 22, 2024 </w:t>
      </w: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Jeffrey Sullivan </w:t>
      </w:r>
    </w:p>
    <w:p>
      <w:pPr>
        <w:pStyle w:val="TextBody"/>
        <w:bidi w:val="0"/>
        <w:jc w:val="left"/>
        <w:rPr>
          <w:rFonts w:ascii="Times New Roman" w:hAnsi="Times New Roman"/>
          <w:color w:val="000000"/>
          <w:sz w:val="24"/>
        </w:rPr>
      </w:pPr>
      <w:r>
        <w:rPr>
          <w:rFonts w:ascii="Times New Roman" w:hAnsi="Times New Roman"/>
          <w:color w:val="000000"/>
          <w:sz w:val="24"/>
        </w:rPr>
        <w:t>Jeffrey Sullivan</w:t>
      </w:r>
    </w:p>
    <w:p>
      <w:pPr>
        <w:pStyle w:val="TextBody"/>
        <w:bidi w:val="0"/>
        <w:spacing w:before="0" w:after="20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ygo-ex31_1.htm"/>
      <w:bookmarkStart w:id="24" w:name="kstygo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2024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07" w:type="dxa"/>
        <w:jc w:val="left"/>
        <w:tblInd w:w="0" w:type="dxa"/>
        <w:tblLayout w:type="fixed"/>
        <w:tblCellMar>
          <w:top w:w="28" w:type="dxa"/>
          <w:left w:w="28" w:type="dxa"/>
          <w:bottom w:w="28" w:type="dxa"/>
          <w:right w:w="28" w:type="dxa"/>
        </w:tblCellMar>
      </w:tblPr>
      <w:tblGrid>
        <w:gridCol w:w="2101"/>
        <w:gridCol w:w="4306"/>
      </w:tblGrid>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6, 2024</w:t>
            </w:r>
          </w:p>
        </w:tc>
        <w:tc>
          <w:tcPr>
            <w:tcW w:w="4306"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210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210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210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ygo-ex31_2.htm"/>
      <w:bookmarkStart w:id="26" w:name="kstygo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2024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210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6, 2024</w:t>
            </w:r>
          </w:p>
        </w:tc>
        <w:tc>
          <w:tcPr>
            <w:tcW w:w="3766"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210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210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ygo-ex32_1.htm"/>
      <w:bookmarkStart w:id="28" w:name="kstygoex32_1"/>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September 30, 2024,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November 6, 2024</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ygo-ex32_2.htm"/>
      <w:bookmarkStart w:id="30" w:name="kstygoex32_2"/>
      <w:bookmarkEnd w:id="29"/>
      <w:bookmarkEnd w:id="30"/>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September 30, 2024,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November 6, 2024</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31322</Words>
  <Characters>170187</Characters>
  <CharactersWithSpaces>202851</CharactersWithSpaces>
  <Paragraphs>7866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