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13,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ROTH CH ACQUISITION IV CO.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3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83-3583873</w:t>
            </w:r>
          </w:p>
        </w:tc>
        <w:tc>
          <w:tcPr>
            <w:tcW w:w="2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5"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888 San Clemente Drive, Suite 400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Newport Beach, CA</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92660</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48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720-5700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ROCG</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ROCGW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3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ROCGU</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905510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13, 2022, Roth CH Acquisition IV Co., a Delaware corporation (“</w:t>
      </w:r>
      <w:r>
        <w:rPr>
          <w:rFonts w:ascii="Times New Roman" w:cs="Times New Roman" w:eastAsia="Times New Roman" w:hAnsi="Times New Roman"/>
          <w:sz w:val="18"/>
          <w:szCs w:val="18"/>
          <w:b w:val="1"/>
          <w:bCs w:val="1"/>
          <w:i w:val="1"/>
          <w:iCs w:val="1"/>
          <w:color w:val="auto"/>
        </w:rPr>
        <w:t>ROCG</w:t>
      </w:r>
      <w:r>
        <w:rPr>
          <w:rFonts w:ascii="Times New Roman" w:cs="Times New Roman" w:eastAsia="Times New Roman" w:hAnsi="Times New Roman"/>
          <w:sz w:val="18"/>
          <w:szCs w:val="18"/>
          <w:color w:val="auto"/>
        </w:rPr>
        <w:t>”), entered into a mutually exclusive non-binding letter of intent (the “</w:t>
      </w:r>
      <w:r>
        <w:rPr>
          <w:rFonts w:ascii="Times New Roman" w:cs="Times New Roman" w:eastAsia="Times New Roman" w:hAnsi="Times New Roman"/>
          <w:sz w:val="18"/>
          <w:szCs w:val="18"/>
          <w:b w:val="1"/>
          <w:bCs w:val="1"/>
          <w:i w:val="1"/>
          <w:iCs w:val="1"/>
          <w:color w:val="auto"/>
        </w:rPr>
        <w:t>Letter of Intent</w:t>
      </w:r>
      <w:r>
        <w:rPr>
          <w:rFonts w:ascii="Times New Roman" w:cs="Times New Roman" w:eastAsia="Times New Roman" w:hAnsi="Times New Roman"/>
          <w:sz w:val="18"/>
          <w:szCs w:val="18"/>
          <w:color w:val="auto"/>
        </w:rPr>
        <w:t>”) with a target company (“</w:t>
      </w:r>
      <w:r>
        <w:rPr>
          <w:rFonts w:ascii="Times New Roman" w:cs="Times New Roman" w:eastAsia="Times New Roman" w:hAnsi="Times New Roman"/>
          <w:sz w:val="18"/>
          <w:szCs w:val="18"/>
          <w:b w:val="1"/>
          <w:bCs w:val="1"/>
          <w:i w:val="1"/>
          <w:iCs w:val="1"/>
          <w:color w:val="auto"/>
        </w:rPr>
        <w:t>Target Company</w:t>
      </w:r>
      <w:r>
        <w:rPr>
          <w:rFonts w:ascii="Times New Roman" w:cs="Times New Roman" w:eastAsia="Times New Roman" w:hAnsi="Times New Roman"/>
          <w:sz w:val="18"/>
          <w:szCs w:val="18"/>
          <w:color w:val="auto"/>
        </w:rPr>
        <w:t>”) for a potential business combination which would qualify as its initial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Letter of Intent, ROCG and Target Company intend to enter into a definitive agreement pursuant to which ROCG and Target Company would combine, with the former equityholders of both entities (following the completion of the Business Combination) holding equity in the combined publicly listed company. The completion of the Business Combination is subject to the completion of due diligence to ROCG’s satisfaction, the negotiation and execution of definitive documentation and satisfaction of the conditions contained therein, including (i) completion of any required stock exchange and regulatory review and (ii) approval of the transaction by ROCG’s stockholders and the Target Company’s stockholders. Accordingly, no assurances can be made by either party that the parties will successfully negotiate and enter into a definitive agreement, or that the proposed transaction will be consummated on the terms or timeframe currently contemplated,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definitive agreement is entered into in connection with the proposed Business Combination, ROCG will prepare a proxy statement/prospectus (the “</w:t>
      </w:r>
      <w:r>
        <w:rPr>
          <w:rFonts w:ascii="Times New Roman" w:cs="Times New Roman" w:eastAsia="Times New Roman" w:hAnsi="Times New Roman"/>
          <w:sz w:val="18"/>
          <w:szCs w:val="18"/>
          <w:b w:val="1"/>
          <w:bCs w:val="1"/>
          <w:i w:val="1"/>
          <w:iCs w:val="1"/>
          <w:color w:val="auto"/>
        </w:rPr>
        <w:t>ROCG proxy statement/prospectus</w:t>
      </w:r>
      <w:r>
        <w:rPr>
          <w:rFonts w:ascii="Times New Roman" w:cs="Times New Roman" w:eastAsia="Times New Roman" w:hAnsi="Times New Roman"/>
          <w:sz w:val="18"/>
          <w:szCs w:val="18"/>
          <w:color w:val="auto"/>
        </w:rPr>
        <w:t>”) to be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mailed to its stockholders. ROCG urges its investors and other interested persons to read, when available, the ROCG proxy statement/prospectus, as well as other documents filed with the SEC, because these documents will contain important information about the proposed Business Combination. The ROCG proxy statement statement/prospectus, once available can be obtained, without charge, at the SEC’s web site (http://www.sec.gov).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 solicitation of a proxy, consent or authorization with respect to any securities or in respect of any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ROCG and certain of its respective directors and executive officers may be deemed to be participants in the solicitation of proxies, in favor of the approval of the proposed Business Combination related matters. Information regarding ROCG’s directors and executive officers is contained in the section of ROCG’s Form S-1 titled “Management”, which went effective with the SEC on August 5, 2021. Additional information regarding the interests of those participants and other persons who may be deemed participants in the transaction may be obtained by reading the ROCG proxy statement/prospectus and other relevant documents filed with the SEC when they become available.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Byron Roth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 and Chairman of 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2022-06-15T05:45:51Z</dcterms:created>
  <dcterms:modified xsi:type="dcterms:W3CDTF">2022-06-15T05:45:51Z</dcterms:modified>
</cp:coreProperties>
</file>