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Roth CH Acquisition IV Co.</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ind w:left="7800"/>
        <w:spacing w:after="0"/>
        <w:rPr>
          <w:sz w:val="20"/>
          <w:szCs w:val="20"/>
          <w:color w:val="auto"/>
        </w:rPr>
      </w:pPr>
      <w:r>
        <w:rPr>
          <w:rFonts w:ascii="Arial" w:cs="Arial" w:eastAsia="Arial" w:hAnsi="Arial"/>
          <w:sz w:val="16"/>
          <w:szCs w:val="16"/>
          <w:color w:val="auto"/>
        </w:rPr>
        <w:t>Subject Company: Roth CH Acquisition IV Co.</w:t>
      </w:r>
    </w:p>
    <w:p>
      <w:pPr>
        <w:spacing w:after="0" w:line="32" w:lineRule="exact"/>
        <w:rPr>
          <w:sz w:val="24"/>
          <w:szCs w:val="24"/>
          <w:color w:val="auto"/>
        </w:rPr>
      </w:pPr>
    </w:p>
    <w:p>
      <w:pPr>
        <w:ind w:left="8820"/>
        <w:spacing w:after="0"/>
        <w:rPr>
          <w:sz w:val="20"/>
          <w:szCs w:val="20"/>
          <w:color w:val="auto"/>
        </w:rPr>
      </w:pPr>
      <w:r>
        <w:rPr>
          <w:rFonts w:ascii="Arial" w:cs="Arial" w:eastAsia="Arial" w:hAnsi="Arial"/>
          <w:sz w:val="16"/>
          <w:szCs w:val="16"/>
          <w:color w:val="auto"/>
        </w:rPr>
        <w:t>Commission File No.: 001-40710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311275" cy="56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Tigo Energy Reports First Quarter 2023 Financial Results</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4X Year-over-Year Revenue Increase to Quarterly Record of $50.1 Million for First Quarter 2023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Company Achieves First GAAP Profitable Quarter with $6.9 Million in Net Income</w:t>
      </w:r>
    </w:p>
    <w:p>
      <w:pPr>
        <w:spacing w:after="0" w:line="225"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i w:val="1"/>
          <w:iCs w:val="1"/>
          <w:color w:val="auto"/>
        </w:rPr>
        <w:t>Second Quarter 2023 Revenue Guidance Set Between $70 Million and $74 Million, Second Quarter 2023 Adjusted EBITDA Guidance Set Between $13 Million and $16 Million</w:t>
      </w:r>
    </w:p>
    <w:p>
      <w:pPr>
        <w:spacing w:after="0" w:line="166"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CAMPBELL, Calif. – May 10, 2023 – </w:t>
      </w:r>
      <w:r>
        <w:rPr>
          <w:rFonts w:ascii="Arial" w:cs="Arial" w:eastAsia="Arial" w:hAnsi="Arial"/>
          <w:sz w:val="18"/>
          <w:szCs w:val="18"/>
          <w:b w:val="1"/>
          <w:bCs w:val="1"/>
          <w:u w:val="single" w:color="auto"/>
          <w:color w:val="auto"/>
        </w:rPr>
        <w:t>Tigo Energy, Inc</w:t>
      </w:r>
      <w:r>
        <w:rPr>
          <w:rFonts w:ascii="Arial" w:cs="Arial" w:eastAsia="Arial" w:hAnsi="Arial"/>
          <w:sz w:val="18"/>
          <w:szCs w:val="18"/>
          <w:b w:val="1"/>
          <w:bCs w:val="1"/>
          <w:color w:val="auto"/>
        </w:rPr>
        <w:t>. ("Tigo", or the "Company")</w:t>
      </w:r>
      <w:r>
        <w:rPr>
          <w:rFonts w:ascii="Arial" w:cs="Arial" w:eastAsia="Arial" w:hAnsi="Arial"/>
          <w:sz w:val="18"/>
          <w:szCs w:val="18"/>
          <w:color w:val="auto"/>
        </w:rPr>
        <w:t>, a leading provider of intelligent solar and energy storage</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today reported unaudited financial results for the first quarter ended March 31, 2023 and financial guidance for the second quarter ending June 30, 2023.</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First Quarter 2023 Financial and Operational Highlights</w:t>
      </w:r>
    </w:p>
    <w:p>
      <w:pPr>
        <w:spacing w:after="0" w:line="229"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Record revenue of $50.1 million, up 406% compared to $9.9 million in the first quarter of 2022.</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Gross profit of $18.4 million, up 581% compared to $2.7 million in the first quarter of 2022, with gross profit margin improving to 36.7% from 27.3% in the first quarter of 2022.</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income of $6.9 million, compared to a net loss of $5.7 million in the first quarter of 2022.</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Adjusted EBITDA, a non-GAAP measure, totaled $8.6 million, or 17.2% of revenues, compared to an Adjusted EBITDA loss of $1.4 million in the first quarter of 2022.</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Business combination agreement with Roth CH Acquisition IV Co. (Nasdaq: ROCG) (“Roth CH IV”) is expected to close on May 23, 2023.</w:t>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29" w:lineRule="exact"/>
        <w:rPr>
          <w:sz w:val="24"/>
          <w:szCs w:val="24"/>
          <w:color w:val="auto"/>
        </w:rPr>
      </w:pPr>
    </w:p>
    <w:p>
      <w:pPr>
        <w:jc w:val="both"/>
        <w:spacing w:after="0" w:line="279" w:lineRule="auto"/>
        <w:rPr>
          <w:sz w:val="20"/>
          <w:szCs w:val="20"/>
          <w:color w:val="auto"/>
        </w:rPr>
      </w:pPr>
      <w:r>
        <w:rPr>
          <w:rFonts w:ascii="Arial" w:cs="Arial" w:eastAsia="Arial" w:hAnsi="Arial"/>
          <w:sz w:val="17"/>
          <w:szCs w:val="17"/>
          <w:color w:val="auto"/>
        </w:rPr>
        <w:t>“After exiting 2022 with significant momentum and a robust customer order backlog, we’ve hit the ground running in 2023,” said Zvi Alon, Chairman and CEO of Tigo. “Led by particularly strong growth in the Europe, the Middle East, and Africa (“EMEA”) region within our MLPE and Energy Intelligence solutions, we drove record quarterly revenue of $50.1 million and achieved our first GAAP profitable quarter with net income of $6.9 million. Also, we lowered our cost of capital in the first quarter of 2023 by paying off our term debt and raising $50 million in convertible notes.</w:t>
      </w:r>
    </w:p>
    <w:p>
      <w:pPr>
        <w:spacing w:after="0" w:line="171"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“Looking ahead, our focus remains on providing an exceptional customer experience, including through our technology’s open architecture, easy installation, and powerful software,” Alon continued. “We anticipate that we will close our previously announced merger transaction with Roth CH IV later this month and believe that this transformation will propel us into a successful second half of the year. We continue to see strong growth in the EMEA market for our products, and despite some headwinds in the U.S. market, we are encouraged that we will grow year-over-year due to new product introductions such as our EI solution. We’re confident in the path ahead for our business, and we look forward to providing additional updates in the coming months.”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1127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11275" cy="56578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First Quarter 2023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highlight w:val="white"/>
        </w:rPr>
        <w:t>Results compare the 2023 fiscal first quarter ended March 31, 2023 to the 2022 fiscal first quarter ended March 31, 2022, unless otherwise indicated.</w:t>
      </w:r>
    </w:p>
    <w:p>
      <w:pPr>
        <w:spacing w:after="0" w:line="237"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highlight w:val="white"/>
        </w:rPr>
        <w:t>Revenue for the first quarter 2023 totaled $50.1 million, a 406% increase from $9.9 million in the prior year period. The increase was primarily due to higher worldwide sales of the Company’s TS4 MLPE products, particularly in the EMEA market.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highlight w:val="white"/>
        </w:rPr>
        <w:t>Gross profit for the first quarter 2023 totaled $18.4 million (36.7% of total revenue), a 581% increase from $2.7 million (27.3% of total revenue) in the prior year period.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highlight w:val="white"/>
        </w:rPr>
        <w:t>Total operating expenses for the first quarter 2023 totaled $10.6 million, a 147% increase from $4.3 million in the prior year period. The increase was due primarily to higher headcount to support the Company’s growth initiatives.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highlight w:val="white"/>
        </w:rPr>
        <w:t>Net income for the first quarter 2023 totaled $6.9 million, compared to net loss of $5.7 million for the prior year period.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highlight w:val="white"/>
        </w:rPr>
        <w:t>Adjusted EBITDA totaled $8.6 million for the first quarter 2023, an improvement compared to an Adjusted EBITDA loss of $1.4 million for the prior year period.</w:t>
      </w:r>
    </w:p>
    <w:p>
      <w:pPr>
        <w:spacing w:after="0" w:line="170"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highlight w:val="white"/>
        </w:rPr>
        <w:t>Cash, cash equivalents, and marketable securities totaled $60.7 million at March 31, 2023, compared to $36.2 million at December 31, 2022. The Company had $20.8 million in principal value debt outstanding at December 31, 2022 which was paid off in February 2023. As previously announced, on January 9, 2023, the Company entered into a definitive agreement with L1 Energy for the purchase of $50 million of newly issued convertible notes to support the Company's future growth opportunities and repayment of existing debt.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2023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provides guidance for the second quarter ending June 30, 2023 as follows: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to be within the range of $70 million to $74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to be within the range of $13 million to $16 million.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Actual results may differ materially from the Company’s guidance as a result of, among other things, the factors described below under “Forward-Looking Statements”.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expects to close its previously announced merger transaction with Roth CH IV on May 23, 2023 and trade on the Nasdaq Capital Market under the symbol “TYGO” beginning on May 24, 2023. The Company expects to file its first quarter 2023 financial statements and related footnotes following the close of the merger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11275" cy="565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11275" cy="56578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About Tigo Energy,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highlight w:val="white"/>
        </w:rPr>
        <w:t xml:space="preserve">Founded in 2007, Tigo is a worldwide leader in the development and manufacture of smart hardware and software solutions that enhance safety, increase energy yield, and lower operating costs of residential, commercial, and utility-scale solar systems. Tigo combines its Flex MLPE (Module Level Power Electronics) and solar optimizer technology with intelligent, cloud-based software capabilities for advanced energy monitoring and control. Tigo MLPE products maximize performance, enable real-time energy monitoring, and provide code-required rapid shutdown at the module level. The Company also develops and manufactures products such as inverters and battery storage systems for the residential solar-plus-storage market. For more information, please visit </w:t>
      </w:r>
      <w:r>
        <w:rPr>
          <w:rFonts w:ascii="Arial" w:cs="Arial" w:eastAsia="Arial" w:hAnsi="Arial"/>
          <w:sz w:val="18"/>
          <w:szCs w:val="18"/>
          <w:u w:val="single" w:color="auto"/>
          <w:color w:val="auto"/>
          <w:highlight w:val="white"/>
        </w:rPr>
        <w:t>www.tigoenergy.com</w:t>
      </w:r>
      <w:r>
        <w:rPr>
          <w:rFonts w:ascii="Arial" w:cs="Arial" w:eastAsia="Arial" w:hAnsi="Arial"/>
          <w:sz w:val="18"/>
          <w:szCs w:val="18"/>
          <w:color w:val="auto"/>
          <w:highlight w:val="white"/>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Roth CH Acquisition IV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highlight w:val="white"/>
        </w:rPr>
        <w:t xml:space="preserve">Roth CH Acquisition IV Co. is a blank check company incorporated for the purpose of effecting a merger, share exchange, asset acquisition, share purchase, reorganization or similar business combination with one or more businesses. Roth CH IV is jointly managed by affiliates of Roth Capital Partners and Craig-Hallum Capital Group. Its initial public offering occurred on August 5, 2021 raising approximately $115 million. For more information, visit </w:t>
      </w:r>
      <w:r>
        <w:rPr>
          <w:rFonts w:ascii="Arial" w:cs="Arial" w:eastAsia="Arial" w:hAnsi="Arial"/>
          <w:sz w:val="18"/>
          <w:szCs w:val="18"/>
          <w:u w:val="single" w:color="auto"/>
          <w:color w:val="auto"/>
          <w:highlight w:val="white"/>
        </w:rPr>
        <w:t>www.rothch.com</w:t>
      </w:r>
      <w:r>
        <w:rPr>
          <w:rFonts w:ascii="Arial" w:cs="Arial" w:eastAsia="Arial" w:hAnsi="Arial"/>
          <w:sz w:val="18"/>
          <w:szCs w:val="18"/>
          <w:color w:val="auto"/>
          <w:highlight w:val="white"/>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the expectation that the Business Combination will occur.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9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In addition to factors previously disclosed or that will be disclosed in Roth CH IV’s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Roth CH IV, Tigo, or others following the announcement of the Business Combination and any definitive agreements with respect thereto; (3) the inability to complete the Business Combination due to the failure to obtain approval of the Shareholders of Roth CH IV or Tigo; (4) the inability of Tigo to satisfy other conditions to closing; (5) changes to the proposed structure of the Business Combination that may be required or appropriate as a result of applicable laws or regulations or as a condition to obtaining regulatory approval of the Business Combination;</w:t>
      </w:r>
    </w:p>
    <w:p>
      <w:pPr>
        <w:spacing w:after="0" w:line="1" w:lineRule="exact"/>
        <w:rPr>
          <w:sz w:val="20"/>
          <w:szCs w:val="20"/>
          <w:color w:val="auto"/>
        </w:rPr>
      </w:pPr>
    </w:p>
    <w:p>
      <w:pPr>
        <w:jc w:val="both"/>
        <w:ind w:firstLine="8"/>
        <w:spacing w:after="0" w:line="281" w:lineRule="auto"/>
        <w:tabs>
          <w:tab w:leader="none" w:pos="263"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the ability to meet stock exchange listing standards in connection with and following the consummation of the Business Combination; (7) the risk that the Business Combination disrupts current plans and operations of Tigo as a result of the announcement and consummation of the Business Combination;</w:t>
      </w:r>
    </w:p>
    <w:p>
      <w:pPr>
        <w:spacing w:after="0" w:line="1" w:lineRule="exact"/>
        <w:rPr>
          <w:rFonts w:ascii="Arial" w:cs="Arial" w:eastAsia="Arial" w:hAnsi="Arial"/>
          <w:sz w:val="16"/>
          <w:szCs w:val="16"/>
          <w:i w:val="1"/>
          <w:iCs w:val="1"/>
          <w:color w:val="auto"/>
        </w:rPr>
      </w:pPr>
    </w:p>
    <w:p>
      <w:pPr>
        <w:jc w:val="both"/>
        <w:ind w:firstLine="8"/>
        <w:spacing w:after="0" w:line="286" w:lineRule="auto"/>
        <w:tabs>
          <w:tab w:leader="none" w:pos="262"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the ability to recognize the anticipated benefits of the Business Combination, which may be affected by, among other things, competition, the ability of Roth CH IV to grow and manage growth profitably, grow its customer base, maintain relationships with customers and suppliers and retain its management and key employees; (9) the impact of the COVID-19 pandemic on the business of Tigo and Roth CH IV (including the effects of the ongoing global supply chain shortage); (10) Tigo’s limited operating history and history of net losses; (11) costs related to the Business Combination; (12) changes in applicable laws or regulations; (13) the possibility that Tigo or Roth CH IV may be adversely affected by other economic, business, regulatory, and/or competitive factors; (14) Tigo’s estimates of expenses and profitability; (15) the evolution of the markets in which Tigo competes; (16) the ability of Tigo to implement its strategic initiatives and continue to innovate its existing products; (17) the ability of Tigo to adhere to legal requirements with respect to the protection of personal data and privacy laws; (18) cybersecurity risks, data loss and other breaches of Tigo’s network security and the disclosure of personal information; and (19) the risk of regulatory lawsuits or proceedings relating to Tigo’s products 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11275" cy="565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11275" cy="56578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Roth CH IV and Tigo or the date of such information in the case of information from persons other than Roth CH IV and Tigo, and we disclaim any intention or obligation to update any forward-looking statements as a result of developments occurring after the date of this communication. Forecasts and estimates regarding Tigo’s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highlight w:val="white"/>
        </w:rPr>
        <w:t>Non-GAAP Financial Measures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highlight w:val="white"/>
        </w:rPr>
        <w:t>To supplement our consolidated financial statements, which are prepared and presented in accordance with GAAP, we use the following non-GAAP financial measure: Adjusted EBITDA. The presentation of this financial measure is not intended to be considered in isolation or as a substitute for, or superior to, the financial information prepared and presented in accordance with GAAP.</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We use Adjusted EBITDA for financial and operational decision-making and as a means to evaluate period-to-period comparisons. We define Adjusted EBITDA, a non-GAAP financial measure, as earnings (loss) before interest expense, income tax expense (benefit), depreciation and amortization, as adjusted to exclude stock-based compensation and merger transaction related expenses. We believe that Adjusted EBITDA provides meaningful supplemental information regarding our performance by excluding certain items that may not be indicative of our recurring core business operating results. We believe that both management and investors benefit from referring to Adjusted EBITDA in assessing our performance and when planning, forecasting, and analyzing future periods. Adjusted EBITDA also facilitates management’s internal comparisons to our historical performance and comparisons to our competitors’ operating results. We believe Adjusted EBITDA is useful to investors both because it (i) allows for greater transparency with respect to key metrics used by management in its financial and operational decision-making and (ii) is used by our institutional investors and the analyst community to help them analyze the health of our business.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The items excluded from Adjusted EBITDA may have a material impact on our financial results. Certain of those items are non-recurring, while others are non-cash in nature. Accordingly, the Adjusted EBITDA is presented as supplemental disclosure and should not be considered in isolation of, as a substitute for, or superior to, the financial information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11275" cy="565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11275" cy="56578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There are a number of limitations related to the use of non-GAAP financial measures. We compensate for these limitations by providing specific information regarding the GAAP amounts excluded from these non-GAAP financial measures and evaluating these non-GAAP financial measures together with their relevant financial measures in accordance with GAAP.</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We refer investors to the reconciliation Adjusted EBITDA to net income (loss) included below. A reconciliation for Adjusted EBITDA provided as guidance is not provided because, as a forward-looking statement, such reconciliation is not available without unreasonable effort due to the high variability, complexity, and difficulty of estimating certain items such as charges to stock-based compensation expense and currency fluctuations which could have an impact on our consolidated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and Where to Find It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This communication relates to the proposed business combination between Tigo and Roth CH IV (“Roth”) (the “Business Combination”). In connection with the Business Combination, Roth CH IV filed a registration statement, which includes a preliminary proxy statement/prospectus, with the SEC. This communication is not a substitute for the proxy statement/prospectus. 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TIGO, ROTH CH IV, THE BUSINESS COMBINATION AND RELATED MATTERS. The documents filed or that will be filed with the SEC relating to the Business Combination can be obtained free of charge from the SEC’s website at www.sec.gov. These documents can also be obtained free of charge from Roth CH IV upon written request at Roth CH Acquisition IV Co., 888 San Clemente Drive, Suite 400, Newport Beach, CA, 92660.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Solicitation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This communication is not a solicitation of a proxy from any investor or security holder. However, Roth CH IV, Tigo, and certain of their directors and executive officers may be deemed to be participants in the solicitation of proxies in connection with the Business Combination under the rules of the SEC. Information about Roth CH IV’s directors and executive officers and their ownership of Roth CH IV’s securities is set forth in filings with the SEC, including Roth CH IV’s Annual Report on Form 10-K filed with the SEC on March 31, 2023. To the extent that holdings of Roth CH IV’s securities have changed since the amounts included in Roth’s Annual Report on Form 10-K, such changes have been or will be reflected on Statements of Changes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11275"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311275" cy="56578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Offer or Solicitation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This communication is not intended to and shall not constitute a proxy statement or the solicitation of a proxy, consent or authorization with respect to any securities in respect of the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 Glover or Tom Colton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Gateway Group, Inc.</w:t>
      </w:r>
    </w:p>
    <w:p>
      <w:pPr>
        <w:spacing w:after="0" w:line="9" w:lineRule="exact"/>
        <w:rPr>
          <w:sz w:val="20"/>
          <w:szCs w:val="20"/>
          <w:color w:val="auto"/>
        </w:rPr>
      </w:pPr>
    </w:p>
    <w:p>
      <w:pPr>
        <w:ind w:right="9500" w:firstLine="8"/>
        <w:spacing w:after="0" w:line="323" w:lineRule="auto"/>
        <w:tabs>
          <w:tab w:leader="none" w:pos="435"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574-3860 </w:t>
      </w:r>
      <w:r>
        <w:rPr>
          <w:rFonts w:ascii="Arial" w:cs="Arial" w:eastAsia="Arial" w:hAnsi="Arial"/>
          <w:sz w:val="16"/>
          <w:szCs w:val="16"/>
          <w:u w:val="single" w:color="auto"/>
          <w:color w:val="auto"/>
        </w:rPr>
        <w:t>TYGO@gatewayir.com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11275"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11275" cy="56578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Tigo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8"/>
                <w:szCs w:val="18"/>
                <w:color w:val="auto"/>
              </w:rPr>
            </w:pPr>
          </w:p>
        </w:tc>
        <w:tc>
          <w:tcPr>
            <w:tcW w:w="126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88"/>
              </w:rPr>
              <w:t>December 31,</w:t>
            </w:r>
          </w:p>
        </w:tc>
      </w:tr>
      <w:tr>
        <w:trPr>
          <w:trHeight w:val="229"/>
        </w:trPr>
        <w:tc>
          <w:tcPr>
            <w:tcW w:w="8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9"/>
                <w:szCs w:val="19"/>
                <w:color w:val="auto"/>
              </w:rPr>
            </w:pPr>
          </w:p>
        </w:tc>
      </w:tr>
      <w:tr>
        <w:trPr>
          <w:trHeight w:val="234"/>
        </w:trPr>
        <w:tc>
          <w:tcPr>
            <w:tcW w:w="8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126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3"/>
              </w:rPr>
              <w:t>(Audited)</w:t>
            </w:r>
          </w:p>
        </w:tc>
      </w:tr>
      <w:tr>
        <w:trPr>
          <w:trHeight w:val="209"/>
        </w:trPr>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36,194</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16"/>
        </w:trPr>
        <w:tc>
          <w:tcPr>
            <w:tcW w:w="842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15,816</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24,915</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ind w:left="280"/>
              <w:spacing w:after="0"/>
              <w:rPr>
                <w:sz w:val="20"/>
                <w:szCs w:val="20"/>
                <w:color w:val="auto"/>
              </w:rPr>
            </w:pPr>
            <w:r>
              <w:rPr>
                <w:rFonts w:ascii="Arial" w:cs="Arial" w:eastAsia="Arial" w:hAnsi="Arial"/>
                <w:sz w:val="18"/>
                <w:szCs w:val="18"/>
                <w:color w:val="auto"/>
              </w:rPr>
              <w:t>Deferred issuance costs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Notes receivable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8"/>
                <w:szCs w:val="18"/>
                <w:color w:val="auto"/>
              </w:rPr>
            </w:pPr>
          </w:p>
        </w:tc>
      </w:tr>
      <w:tr>
        <w:trPr>
          <w:trHeight w:val="229"/>
        </w:trPr>
        <w:tc>
          <w:tcPr>
            <w:tcW w:w="84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5,094</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w:t>
            </w:r>
          </w:p>
        </w:tc>
        <w:tc>
          <w:tcPr>
            <w:tcW w:w="100" w:type="dxa"/>
            <w:vAlign w:val="bottom"/>
            <w:tcBorders>
              <w:bottom w:val="single" w:sz="8" w:color="CCEEFF"/>
            </w:tcBorders>
          </w:tcPr>
          <w:p>
            <w:pPr>
              <w:spacing w:after="0"/>
              <w:rPr>
                <w:sz w:val="19"/>
                <w:szCs w:val="19"/>
                <w:color w:val="auto"/>
              </w:rPr>
            </w:pPr>
          </w:p>
        </w:tc>
      </w:tr>
      <w:tr>
        <w:trPr>
          <w:trHeight w:val="209"/>
        </w:trPr>
        <w:tc>
          <w:tcPr>
            <w:tcW w:w="8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85,092</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Operating right-of-use assets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216"/>
        </w:trPr>
        <w:tc>
          <w:tcPr>
            <w:tcW w:w="8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77"/>
        </w:trPr>
        <w:tc>
          <w:tcPr>
            <w:tcW w:w="84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156,910</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88,078</w:t>
            </w:r>
          </w:p>
        </w:tc>
        <w:tc>
          <w:tcPr>
            <w:tcW w:w="100" w:type="dxa"/>
            <w:vAlign w:val="bottom"/>
            <w:tcBorders>
              <w:bottom w:val="single" w:sz="8" w:color="CCEEFF"/>
            </w:tcBorders>
          </w:tcPr>
          <w:p>
            <w:pPr>
              <w:spacing w:after="0"/>
              <w:rPr>
                <w:sz w:val="24"/>
                <w:szCs w:val="24"/>
                <w:color w:val="auto"/>
              </w:rPr>
            </w:pPr>
          </w:p>
        </w:tc>
      </w:tr>
      <w:tr>
        <w:trPr>
          <w:trHeight w:val="196"/>
        </w:trPr>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23,286</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ind w:left="28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4,382</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revenue, current portion</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ind w:left="280"/>
              <w:spacing w:after="0"/>
              <w:rPr>
                <w:sz w:val="20"/>
                <w:szCs w:val="20"/>
                <w:color w:val="auto"/>
              </w:rPr>
            </w:pPr>
            <w:r>
              <w:rPr>
                <w:rFonts w:ascii="Arial" w:cs="Arial" w:eastAsia="Arial" w:hAnsi="Arial"/>
                <w:sz w:val="18"/>
                <w:szCs w:val="18"/>
                <w:color w:val="auto"/>
              </w:rPr>
              <w:t>Warranty liability, current portion</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lease liabilities, current portion</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8"/>
                <w:szCs w:val="18"/>
                <w:color w:val="auto"/>
              </w:rPr>
            </w:pPr>
          </w:p>
        </w:tc>
      </w:tr>
      <w:tr>
        <w:trPr>
          <w:trHeight w:val="229"/>
        </w:trPr>
        <w:tc>
          <w:tcPr>
            <w:tcW w:w="842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tcPr>
          <w:p>
            <w:pPr>
              <w:spacing w:after="0"/>
              <w:rPr>
                <w:sz w:val="19"/>
                <w:szCs w:val="19"/>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r>
      <w:tr>
        <w:trPr>
          <w:trHeight w:val="210"/>
        </w:trPr>
        <w:tc>
          <w:tcPr>
            <w:tcW w:w="84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Warranty liability, net of current portion</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3,959</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Long-term debt, net of current maturities and unamortized debt issuance costs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49,670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10,642</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Preferred stock warrant liability</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23"/>
        </w:trPr>
        <w:tc>
          <w:tcPr>
            <w:tcW w:w="8420" w:type="dxa"/>
            <w:vAlign w:val="bottom"/>
            <w:tcBorders>
              <w:top w:val="single" w:sz="8" w:color="CCEEFF"/>
              <w:bottom w:val="single" w:sz="8" w:color="CCEEFF"/>
            </w:tcBorders>
          </w:tcPr>
          <w:p>
            <w:pPr>
              <w:ind w:left="46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108,003</w:t>
            </w:r>
          </w:p>
        </w:tc>
        <w:tc>
          <w:tcPr>
            <w:tcW w:w="220" w:type="dxa"/>
            <w:vAlign w:val="bottom"/>
            <w:tcBorders>
              <w:top w:val="single" w:sz="8" w:color="CCEEFF"/>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56,630</w:t>
            </w:r>
          </w:p>
        </w:tc>
        <w:tc>
          <w:tcPr>
            <w:tcW w:w="100" w:type="dxa"/>
            <w:vAlign w:val="bottom"/>
            <w:tcBorders>
              <w:top w:val="single" w:sz="8" w:color="CCEEFF"/>
              <w:bottom w:val="single" w:sz="8" w:color="CCEEFF"/>
            </w:tcBorders>
          </w:tcPr>
          <w:p>
            <w:pPr>
              <w:spacing w:after="0"/>
              <w:rPr>
                <w:sz w:val="19"/>
                <w:szCs w:val="19"/>
                <w:color w:val="auto"/>
              </w:rPr>
            </w:pPr>
          </w:p>
        </w:tc>
      </w:tr>
      <w:tr>
        <w:trPr>
          <w:trHeight w:val="209"/>
        </w:trPr>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Convertible preferred stock</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420" w:type="dxa"/>
            <w:vAlign w:val="bottom"/>
          </w:tcPr>
          <w:p>
            <w:pPr>
              <w:spacing w:after="0"/>
              <w:rPr>
                <w:sz w:val="20"/>
                <w:szCs w:val="20"/>
                <w:color w:val="auto"/>
              </w:rPr>
            </w:pPr>
            <w:r>
              <w:rPr>
                <w:rFonts w:ascii="Arial" w:cs="Arial" w:eastAsia="Arial" w:hAnsi="Arial"/>
                <w:sz w:val="18"/>
                <w:szCs w:val="18"/>
                <w:color w:val="auto"/>
              </w:rPr>
              <w:t>Stockholders’ deficit:</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6,521</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(55,305)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(62,215)</w:t>
            </w:r>
          </w:p>
        </w:tc>
      </w:tr>
      <w:tr>
        <w:trPr>
          <w:trHeight w:val="229"/>
        </w:trPr>
        <w:tc>
          <w:tcPr>
            <w:tcW w:w="842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210"/>
        </w:trPr>
        <w:tc>
          <w:tcPr>
            <w:tcW w:w="84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stockholders’ deficit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(55,692</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r>
      <w:tr>
        <w:trPr>
          <w:trHeight w:val="236"/>
        </w:trPr>
        <w:tc>
          <w:tcPr>
            <w:tcW w:w="8420" w:type="dxa"/>
            <w:vAlign w:val="bottom"/>
          </w:tcPr>
          <w:p>
            <w:pPr>
              <w:ind w:left="46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156,910</w:t>
            </w:r>
          </w:p>
        </w:tc>
        <w:tc>
          <w:tcPr>
            <w:tcW w:w="2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88,078</w:t>
            </w:r>
          </w:p>
        </w:tc>
        <w:tc>
          <w:tcPr>
            <w:tcW w:w="100" w:type="dxa"/>
            <w:vAlign w:val="bottom"/>
          </w:tcPr>
          <w:p>
            <w:pPr>
              <w:spacing w:after="0"/>
              <w:rPr>
                <w:sz w:val="20"/>
                <w:szCs w:val="20"/>
                <w:color w:val="auto"/>
              </w:rPr>
            </w:pPr>
          </w:p>
        </w:tc>
      </w:tr>
      <w:tr>
        <w:trPr>
          <w:trHeight w:val="20"/>
        </w:trPr>
        <w:tc>
          <w:tcPr>
            <w:tcW w:w="8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8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11275" cy="565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11275" cy="56578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Tigo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84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31,689</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7,236</w:t>
            </w:r>
          </w:p>
        </w:tc>
        <w:tc>
          <w:tcPr>
            <w:tcW w:w="100" w:type="dxa"/>
            <w:vAlign w:val="bottom"/>
          </w:tcPr>
          <w:p>
            <w:pPr>
              <w:spacing w:after="0"/>
              <w:rPr>
                <w:sz w:val="18"/>
                <w:szCs w:val="18"/>
                <w:color w:val="auto"/>
              </w:rPr>
            </w:pPr>
          </w:p>
        </w:tc>
      </w:tr>
      <w:tr>
        <w:trPr>
          <w:trHeight w:val="209"/>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4,772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18"/>
                <w:szCs w:val="18"/>
                <w:color w:val="auto"/>
              </w:rPr>
            </w:pPr>
          </w:p>
        </w:tc>
      </w:tr>
      <w:tr>
        <w:trPr>
          <w:trHeight w:val="229"/>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4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10,549</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w:t>
            </w:r>
          </w:p>
        </w:tc>
        <w:tc>
          <w:tcPr>
            <w:tcW w:w="10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Other expenses (income):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Change in fair value of preferred stock warrant and contingent shares liability</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ind w:left="280"/>
              <w:spacing w:after="0"/>
              <w:rPr>
                <w:sz w:val="20"/>
                <w:szCs w:val="20"/>
                <w:color w:val="auto"/>
              </w:rPr>
            </w:pPr>
            <w:r>
              <w:rPr>
                <w:rFonts w:ascii="Arial" w:cs="Arial" w:eastAsia="Arial" w:hAnsi="Arial"/>
                <w:sz w:val="18"/>
                <w:szCs w:val="18"/>
                <w:color w:val="auto"/>
              </w:rPr>
              <w:t>Loss on debt extinguishment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3,613</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(551)</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r>
      <w:tr>
        <w:trPr>
          <w:trHeight w:val="223"/>
        </w:trPr>
        <w:tc>
          <w:tcPr>
            <w:tcW w:w="8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expenses, net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200" w:type="dxa"/>
            <w:vAlign w:val="bottom"/>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00" w:type="dxa"/>
            <w:vAlign w:val="bottom"/>
            <w:shd w:val="clear" w:color="auto" w:fill="CCEEFF"/>
          </w:tcPr>
          <w:p>
            <w:pPr>
              <w:spacing w:after="0"/>
              <w:rPr>
                <w:sz w:val="19"/>
                <w:szCs w:val="19"/>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6,910</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(5,697)</w:t>
            </w:r>
          </w:p>
        </w:tc>
        <w:tc>
          <w:tcPr>
            <w:tcW w:w="10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6"/>
        </w:trPr>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11275" cy="5657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1127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other expenses,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Depreciation and amortization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M&amp;A transaction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560"/>
        <w:spacing w:after="0"/>
        <w:rPr>
          <w:sz w:val="20"/>
          <w:szCs w:val="20"/>
          <w:color w:val="auto"/>
        </w:rPr>
      </w:pPr>
      <w:r>
        <w:rPr>
          <w:rFonts w:ascii="Arial" w:cs="Arial" w:eastAsia="Arial" w:hAnsi="Arial"/>
          <w:sz w:val="18"/>
          <w:szCs w:val="18"/>
          <w:b w:val="1"/>
          <w:bCs w:val="1"/>
          <w:color w:val="auto"/>
        </w:rPr>
        <w:t>Tigo Energy, Inc. and Subsidiaries</w:t>
      </w:r>
    </w:p>
    <w:p>
      <w:pPr>
        <w:spacing w:after="0" w:line="27" w:lineRule="exact"/>
        <w:rPr>
          <w:sz w:val="20"/>
          <w:szCs w:val="20"/>
          <w:color w:val="auto"/>
        </w:rPr>
      </w:pPr>
    </w:p>
    <w:p>
      <w:pPr>
        <w:jc w:val="center"/>
        <w:ind w:right="2560"/>
        <w:spacing w:after="0"/>
        <w:rPr>
          <w:sz w:val="20"/>
          <w:szCs w:val="20"/>
          <w:color w:val="auto"/>
        </w:rPr>
      </w:pPr>
      <w:r>
        <w:rPr>
          <w:rFonts w:ascii="Arial" w:cs="Arial" w:eastAsia="Arial" w:hAnsi="Arial"/>
          <w:sz w:val="18"/>
          <w:szCs w:val="18"/>
          <w:b w:val="1"/>
          <w:bCs w:val="1"/>
          <w:color w:val="auto"/>
        </w:rPr>
        <w:t>Non-GAAP Financial Measures</w:t>
      </w:r>
    </w:p>
    <w:p>
      <w:pPr>
        <w:spacing w:after="0" w:line="9" w:lineRule="exact"/>
        <w:rPr>
          <w:sz w:val="20"/>
          <w:szCs w:val="20"/>
          <w:color w:val="auto"/>
        </w:rPr>
      </w:pPr>
    </w:p>
    <w:p>
      <w:pPr>
        <w:jc w:val="center"/>
        <w:ind w:right="25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5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(Loss) (GAAP) to Adjusted EBITDA (Non-GAAP)</w:t>
      </w:r>
    </w:p>
    <w:p>
      <w:pPr>
        <w:spacing w:after="0" w:line="225" w:lineRule="exact"/>
        <w:rPr>
          <w:sz w:val="20"/>
          <w:szCs w:val="20"/>
          <w:color w:val="auto"/>
        </w:rPr>
      </w:pPr>
    </w:p>
    <w:p>
      <w:pPr>
        <w:jc w:val="right"/>
        <w:ind w:right="24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5880" w:type="dxa"/>
        <w:tblCellMar>
          <w:top w:w="0" w:type="dxa"/>
          <w:left w:w="0" w:type="dxa"/>
          <w:bottom w:w="0" w:type="dxa"/>
          <w:right w:w="0" w:type="dxa"/>
        </w:tblCellMar>
      </w:tblPr>
      <w:tr>
        <w:trPr>
          <w:trHeight w:val="223"/>
        </w:trPr>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19"/>
                <w:szCs w:val="19"/>
                <w:color w:val="auto"/>
              </w:rPr>
            </w:pPr>
          </w:p>
        </w:tc>
      </w:tr>
      <w:tr>
        <w:trPr>
          <w:trHeight w:val="195"/>
        </w:trPr>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6,910</w:t>
            </w:r>
          </w:p>
        </w:tc>
        <w:tc>
          <w:tcPr>
            <w:tcW w:w="200" w:type="dxa"/>
            <w:vAlign w:val="bottom"/>
          </w:tcPr>
          <w:p>
            <w:pPr>
              <w:spacing w:after="0"/>
              <w:rPr>
                <w:sz w:val="16"/>
                <w:szCs w:val="16"/>
                <w:color w:val="auto"/>
              </w:rPr>
            </w:pPr>
          </w:p>
        </w:tc>
        <w:tc>
          <w:tcPr>
            <w:tcW w:w="280" w:type="dxa"/>
            <w:vAlign w:val="bottom"/>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(5,697)</w:t>
            </w:r>
          </w:p>
        </w:tc>
        <w:tc>
          <w:tcPr>
            <w:tcW w:w="40" w:type="dxa"/>
            <w:vAlign w:val="bottom"/>
          </w:tcPr>
          <w:p>
            <w:pPr>
              <w:spacing w:after="0"/>
              <w:rPr>
                <w:sz w:val="16"/>
                <w:szCs w:val="16"/>
                <w:color w:val="auto"/>
              </w:rPr>
            </w:pPr>
          </w:p>
        </w:tc>
      </w:tr>
      <w:tr>
        <w:trPr>
          <w:trHeight w:val="216"/>
        </w:trPr>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4,125</w:t>
            </w:r>
          </w:p>
        </w:tc>
        <w:tc>
          <w:tcPr>
            <w:tcW w:w="4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8"/>
                <w:szCs w:val="18"/>
                <w:color w:val="auto"/>
              </w:rPr>
            </w:pPr>
          </w:p>
        </w:tc>
      </w:tr>
      <w:tr>
        <w:trPr>
          <w:trHeight w:val="229"/>
        </w:trPr>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r>
      <w:tr>
        <w:trPr>
          <w:trHeight w:val="230"/>
        </w:trPr>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8,558</w:t>
            </w: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-882650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-599440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-325120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180"/>
            <w:col w:w="8680"/>
          </w:cols>
          <w:pgMar w:left="320" w:top="1440" w:right="339" w:bottom="1440" w:gutter="0" w:footer="0" w:header="0"/>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encourage investors and others to review our condensed consolidated financial information contained within this press release in its entirety and not to rely on any single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6"/>
    </w:lvl>
  </w:abstractNum>
  <w:abstractNum w:abstractNumId="4">
    <w:nsid w:val="3D1B58BA"/>
    <w:multiLevelType w:val="hybridMultilevel"/>
    <w:lvl w:ilvl="0">
      <w:lvlJc w:val="left"/>
      <w:lvlText w:val="(%1)"/>
      <w:numFmt w:val="decimal"/>
      <w:start w:val="8"/>
    </w:lvl>
  </w:abstractNum>
  <w:abstractNum w:abstractNumId="5">
    <w:nsid w:val="507ED7AB"/>
    <w:multiLevelType w:val="hybridMultilevel"/>
    <w:lvl w:ilvl="0">
      <w:lvlJc w:val="left"/>
      <w:lvlText w:val="(%1)"/>
      <w:numFmt w:val="decimal"/>
      <w:start w:val="94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2023-05-11T05:27:51Z</dcterms:created>
  <dcterms:modified xsi:type="dcterms:W3CDTF">2023-05-11T05:27:51Z</dcterms:modified>
</cp:coreProperties>
</file>