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Tigo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Alejandro Moreno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Langhorne S. Perrow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Nicholas P. Pellicani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28 Tudor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EC4Y 0AY</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44 20 7786 9000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3,220,645.00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All percentages of ownership of the Common Stock by Reporting Persons presented in this Statement are based on</w:t>
      </w:r>
    </w:p>
    <w:tbl>
      <w:tblPr>
        <w:tblLayout w:type="fixed"/>
        <w:tblInd w:w="0" w:type="dxa"/>
        <w:tblCellMar>
          <w:top w:w="0" w:type="dxa"/>
          <w:left w:w="0" w:type="dxa"/>
          <w:bottom w:w="0" w:type="dxa"/>
          <w:right w:w="0" w:type="dxa"/>
        </w:tblCellMar>
      </w:tblP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8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color w:val="auto"/>
              </w:rPr>
              <w:t>an aggregate of 75,910,794 shares of Common Stock outstanding as of May 1, 2026, as set forth in the Issuer's</w:t>
            </w: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8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Form 10-Q filed with the Securities and Exchange Commission (the "SEC") on May 5, 2026.</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LLC</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0" w:right="339" w:bottom="0"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All percentages of ownership of the Common Stock by Reporting Persons presented in this Statement are based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20"/>
              <w:spacing w:after="0" w:line="229" w:lineRule="exact"/>
              <w:rPr>
                <w:sz w:val="20"/>
                <w:szCs w:val="20"/>
                <w:color w:val="auto"/>
              </w:rPr>
            </w:pPr>
            <w:r>
              <w:rPr>
                <w:rFonts w:ascii="Times New Roman" w:cs="Times New Roman" w:eastAsia="Times New Roman" w:hAnsi="Times New Roman"/>
                <w:sz w:val="22"/>
                <w:szCs w:val="22"/>
                <w:color w:val="auto"/>
              </w:rPr>
              <w:t>on an aggregate of 75,910,794 shares of Common Stock outstanding as of May 1, 2026, as set forth in the</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20"/>
              <w:spacing w:after="0" w:line="240" w:lineRule="exact"/>
              <w:rPr>
                <w:sz w:val="20"/>
                <w:szCs w:val="20"/>
                <w:color w:val="auto"/>
              </w:rPr>
            </w:pPr>
            <w:r>
              <w:rPr>
                <w:rFonts w:ascii="Times New Roman" w:cs="Times New Roman" w:eastAsia="Times New Roman" w:hAnsi="Times New Roman"/>
                <w:sz w:val="22"/>
                <w:szCs w:val="22"/>
                <w:color w:val="auto"/>
              </w:rPr>
              <w:t>Issuer's Form 10-Q filed with the SEC on May 5,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369" w:right="339" w:bottom="0" w:gutter="0" w:footer="0" w:header="0"/>
        </w:sectPr>
      </w:pPr>
    </w:p>
    <w:bookmarkStart w:id="3" w:name="page4"/>
    <w:bookmarkEnd w:id="3"/>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3,220,645.00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3,220,645.00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3,220,645.00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2"/>
          <w:szCs w:val="22"/>
          <w:color w:val="auto"/>
        </w:rPr>
        <w:t>All percentages of ownership of the Common Stock by Reporting Persons presented in this Statement are based on an aggregate of 75,910,794 shares of Common Stock outstanding as of May 1, 2026, as set forth in the Issuer's Form 10-Q filed with the SEC on May 5, 2026.</w:t>
      </w:r>
    </w:p>
    <w:p>
      <w:pPr>
        <w:spacing w:after="0" w:line="400" w:lineRule="exact"/>
        <w:rPr>
          <w:sz w:val="20"/>
          <w:szCs w:val="20"/>
          <w:color w:val="auto"/>
        </w:rPr>
      </w:pPr>
    </w:p>
    <w:p>
      <w:pPr>
        <w:sectPr>
          <w:pgSz w:w="11900" w:h="16890" w:orient="portrait"/>
          <w:cols w:equalWidth="0" w:num="2">
            <w:col w:w="1120" w:space="40"/>
            <w:col w:w="10080"/>
          </w:cols>
          <w:pgMar w:left="320" w:top="369"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Clal Industries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-1592580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0" w:orient="portrait"/>
          <w:cols w:equalWidth="0" w:num="1">
            <w:col w:w="11240"/>
          </w:cols>
          <w:pgMar w:left="320" w:top="369"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3,220,645.00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All percentages of ownership of the Common Stock by Reporting Persons presented in this Statement are based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20"/>
              <w:spacing w:after="0" w:line="229" w:lineRule="exact"/>
              <w:rPr>
                <w:sz w:val="20"/>
                <w:szCs w:val="20"/>
                <w:color w:val="auto"/>
              </w:rPr>
            </w:pPr>
            <w:r>
              <w:rPr>
                <w:rFonts w:ascii="Times New Roman" w:cs="Times New Roman" w:eastAsia="Times New Roman" w:hAnsi="Times New Roman"/>
                <w:sz w:val="22"/>
                <w:szCs w:val="22"/>
                <w:color w:val="auto"/>
              </w:rPr>
              <w:t>on an aggregate of 75,910,794 shares of Common Stock outstanding as of May 1, 2026, as set forth in the</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20"/>
              <w:spacing w:after="0" w:line="240" w:lineRule="exact"/>
              <w:rPr>
                <w:sz w:val="20"/>
                <w:szCs w:val="20"/>
                <w:color w:val="auto"/>
              </w:rPr>
            </w:pPr>
            <w:r>
              <w:rPr>
                <w:rFonts w:ascii="Times New Roman" w:cs="Times New Roman" w:eastAsia="Times New Roman" w:hAnsi="Times New Roman"/>
                <w:sz w:val="22"/>
                <w:szCs w:val="22"/>
                <w:color w:val="auto"/>
              </w:rPr>
              <w:t>Issuer's Form 10-Q filed with the SEC on May 5,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Len Blavatnik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3,220,645.00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3,220,645.00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5" w:name="page6"/>
    <w:bookmarkEnd w:id="5"/>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3,220,645.00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2"/>
          <w:szCs w:val="22"/>
          <w:color w:val="auto"/>
        </w:rPr>
        <w:t>All percentages of ownership of the Common Stock by Reporting Persons presented in this Statement are based on an aggregate of 75,910,794 shares of Common Stock outstanding as of May 1, 2026, as set forth in the Issuer's Form 10-Q filed with the SEC on May 5, 2026.</w:t>
      </w:r>
    </w:p>
    <w:p>
      <w:pPr>
        <w:spacing w:after="0" w:line="400" w:lineRule="exact"/>
        <w:rPr>
          <w:sz w:val="20"/>
          <w:szCs w:val="20"/>
          <w:color w:val="auto"/>
        </w:rPr>
      </w:pPr>
    </w:p>
    <w:p>
      <w:pPr>
        <w:sectPr>
          <w:pgSz w:w="11900" w:h="16838" w:orient="portrait"/>
          <w:cols w:equalWidth="0" w:num="2">
            <w:col w:w="1120" w:space="40"/>
            <w:col w:w="10080"/>
          </w:cols>
          <w:pgMar w:left="320" w:top="111"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Tigo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983 University Avenue, Suite B, Los Gatos, CALIFORNIA , 95032.</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to the Schedule 13D is being filed by Access Industries Holdings LLC ("AIH"), Access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Industries Management, LLC ("AIM"), Access Industries, LLC ("Access LLC"), Clal Industries Ltd. ("CI") and Len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Blavatnik (collectively, the "Reporting Persons", and each, a "Reporting Person") to report the disposition of common stock, $0.0001 par value per share (the "Common Stock"), of Tigo Energy, Inc. (the "Issuer"). The Schedule 13D filed by the Reporting Persons with the Securities and Exchange Commission (the "SEC") on June 2, 2023 (the "Schedule"), as amended and supplemented by Amendment No. 1 to Schedule 13D, filed with the SEC on November 6, 2025, and as amended and supplemented by Amendment No. 2 to Schedule 13D, filed with the SEC on March 17, 2026, is hereby amended and supplemented by the Reporting Persons as set forth below in this Amendment No. 3.</w:t>
      </w:r>
    </w:p>
    <w:p>
      <w:pPr>
        <w:spacing w:after="0" w:line="4" w:lineRule="exact"/>
        <w:rPr>
          <w:sz w:val="20"/>
          <w:szCs w:val="20"/>
          <w:color w:val="auto"/>
        </w:rPr>
      </w:pPr>
    </w:p>
    <w:p>
      <w:pPr>
        <w:jc w:val="both"/>
        <w:ind w:left="1000" w:right="40"/>
        <w:spacing w:after="0" w:line="233" w:lineRule="auto"/>
        <w:rPr>
          <w:sz w:val="20"/>
          <w:szCs w:val="20"/>
          <w:color w:val="auto"/>
        </w:rPr>
      </w:pPr>
      <w:r>
        <w:rPr>
          <w:rFonts w:ascii="Times New Roman" w:cs="Times New Roman" w:eastAsia="Times New Roman" w:hAnsi="Times New Roman"/>
          <w:sz w:val="22"/>
          <w:szCs w:val="22"/>
          <w:color w:val="auto"/>
        </w:rPr>
        <w:t>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 terms used and not defined herein have the respective meanings assigned to them in the Schedule.</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disclosure in Items 5(a), (b) and (d) is hereby amended and restated as follows: (a) (b) The responses of each of</w:t>
      </w:r>
    </w:p>
    <w:p>
      <w:pPr>
        <w:spacing w:after="0" w:line="14" w:lineRule="exact"/>
        <w:rPr>
          <w:sz w:val="20"/>
          <w:szCs w:val="20"/>
          <w:color w:val="auto"/>
        </w:rPr>
      </w:pPr>
    </w:p>
    <w:p>
      <w:pPr>
        <w:ind w:left="960" w:right="260" w:hanging="912"/>
        <w:spacing w:after="0" w:line="184" w:lineRule="auto"/>
        <w:tabs>
          <w:tab w:leader="none" w:pos="96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Persons with respect to Rows 11, 12, and 13 of the cover pages of this Schedule 13D that relate to the aggregate number and percentage of shares of Common Stock (including but not limited to footnotes to such information)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jc w:val="both"/>
        <w:ind w:left="960" w:right="76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responses of each of the Reporting Persons with respect to Rows 7, 8, 9, and 10 of the cover pages of this Schedule 13D that relate to the number of shares of Common Stock as to which each of the persons or entities</w:t>
      </w:r>
    </w:p>
    <w:p>
      <w:pPr>
        <w:ind w:left="960" w:right="200" w:hanging="912"/>
        <w:spacing w:after="0" w:line="235"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15"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disclosure in Item 5(c) is hereby supplemented by adding the following at the end thereof: (c) The transactions in</w:t>
      </w:r>
    </w:p>
    <w:p>
      <w:pPr>
        <w:spacing w:after="0" w:line="25" w:lineRule="exact"/>
        <w:rPr>
          <w:rFonts w:ascii="Times New Roman" w:cs="Times New Roman" w:eastAsia="Times New Roman" w:hAnsi="Times New Roman"/>
          <w:sz w:val="22"/>
          <w:szCs w:val="22"/>
          <w:color w:val="auto"/>
        </w:rPr>
      </w:pPr>
    </w:p>
    <w:p>
      <w:pPr>
        <w:ind w:left="960" w:right="300" w:hanging="912"/>
        <w:spacing w:after="0" w:line="237"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Issuer's securities effected by the Reporting Persons within 60 days prior to this filing are set forth on Annex A, filed as Exhibit 99.8 attached hereto and incorporated herein by reference.</w:t>
      </w:r>
    </w:p>
    <w:p>
      <w:pPr>
        <w:spacing w:after="0" w:line="16" w:lineRule="exact"/>
        <w:rPr>
          <w:rFonts w:ascii="Times New Roman" w:cs="Times New Roman" w:eastAsia="Times New Roman" w:hAnsi="Times New Roman"/>
          <w:sz w:val="22"/>
          <w:szCs w:val="22"/>
          <w:color w:val="auto"/>
        </w:rPr>
      </w:pPr>
    </w:p>
    <w:p>
      <w:pPr>
        <w:ind w:left="960" w:right="80" w:hanging="912"/>
        <w:spacing w:after="0" w:line="247" w:lineRule="auto"/>
        <w:tabs>
          <w:tab w:leader="none" w:pos="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3,220,645 shares of Common Stock are owned directly by CI and each of AIH, Access LLC, AIM and Mr. Blavatnik may be deemed to share voting and investment power over the shares of Common Stock owned by CI because (i) Len Blavatnik controls AIM, AIH, Access LLC and AI International GP Limited (the general partner of AI SMS, as defined below), (ii) Access LLC controls a majority of the outstanding voting interests in AIH, (iii) AIM controls Access LLC and AIH, (iv) AIH owns a majority of the equity of AI SMS L.P. ("AI SMS"), (v) AI SMS owns a majority of the equity of AI Diversified Holdings Ltd. ("Holdings Limited"), (vi) Holdings Limited owns AI Diversified Parent S.a r.l., which owns AI Diversified Holdings S.a r.l., which owns Access AI Ltd ("Access AI"), and (vii) Access AI wholly owns Clal Industries Ltd. ("CI"). Each of the Reporting Persons (other than CI), and each</w:t>
      </w:r>
    </w:p>
    <w:p>
      <w:pPr>
        <w:sectPr>
          <w:pgSz w:w="11900" w:h="16838" w:orient="portrait"/>
          <w:cols w:equalWidth="0" w:num="1">
            <w:col w:w="11240"/>
          </w:cols>
          <w:pgMar w:left="320" w:top="111" w:right="339" w:bottom="0" w:gutter="0" w:footer="0" w:header="0"/>
          <w:type w:val="continuous"/>
        </w:sectPr>
      </w:pPr>
    </w:p>
    <w:bookmarkStart w:id="6" w:name="page7"/>
    <w:bookmarkEnd w:id="6"/>
    <w:p>
      <w:pPr>
        <w:ind w:left="920" w:right="60"/>
        <w:spacing w:after="0" w:line="249" w:lineRule="auto"/>
        <w:rPr>
          <w:sz w:val="20"/>
          <w:szCs w:val="20"/>
          <w:color w:val="auto"/>
        </w:rPr>
      </w:pPr>
      <w:r>
        <w:rPr>
          <w:rFonts w:ascii="Times New Roman" w:cs="Times New Roman" w:eastAsia="Times New Roman" w:hAnsi="Times New Roman"/>
          <w:sz w:val="22"/>
          <w:szCs w:val="22"/>
          <w:color w:val="auto"/>
        </w:rPr>
        <w:t>of their affiliated entities and the officers, partners, members and managers thereof, disclaims beneficial ownership of the securities held directly by CI.</w:t>
      </w:r>
    </w:p>
    <w:p>
      <w:pPr>
        <w:spacing w:after="0" w:line="16" w:lineRule="exact"/>
        <w:rPr>
          <w:sz w:val="20"/>
          <w:szCs w:val="20"/>
          <w:color w:val="auto"/>
        </w:rPr>
      </w:pPr>
    </w:p>
    <w:p>
      <w:pPr>
        <w:ind w:left="920" w:right="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May 18, 2026, each of the Reporting Persons ceased to be the beneficial owner of more than five percent of the Issuer's shares of Common Stock.</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99.8 Annex 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1420" w:type="dxa"/>
        <w:tblCellMar>
          <w:top w:w="0" w:type="dxa"/>
          <w:left w:w="0" w:type="dxa"/>
          <w:bottom w:w="0" w:type="dxa"/>
          <w:right w:w="0" w:type="dxa"/>
        </w:tblCellMar>
      </w:tblPr>
      <w:tr>
        <w:trPr>
          <w:trHeight w:val="282"/>
        </w:trPr>
        <w:tc>
          <w:tcPr>
            <w:tcW w:w="5300" w:type="dxa"/>
            <w:vAlign w:val="bottom"/>
            <w:gridSpan w:val="2"/>
          </w:tcPr>
          <w:p>
            <w:pPr>
              <w:ind w:left="1600"/>
              <w:spacing w:after="0"/>
              <w:rPr>
                <w:sz w:val="20"/>
                <w:szCs w:val="20"/>
                <w:color w:val="auto"/>
              </w:rPr>
            </w:pPr>
            <w:r>
              <w:rPr>
                <w:rFonts w:ascii="Times New Roman" w:cs="Times New Roman" w:eastAsia="Times New Roman" w:hAnsi="Times New Roman"/>
                <w:sz w:val="22"/>
                <w:szCs w:val="22"/>
                <w:color w:val="auto"/>
              </w:rPr>
              <w:t>Access Industries Holdings LLC</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Signature: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Access Industries Management, LLC, its</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6200" w:type="dxa"/>
            <w:vAlign w:val="bottom"/>
            <w:gridSpan w:val="2"/>
          </w:tcPr>
          <w:p>
            <w:pPr>
              <w:ind w:left="1040"/>
              <w:spacing w:after="0" w:line="243" w:lineRule="exact"/>
              <w:rPr>
                <w:sz w:val="20"/>
                <w:szCs w:val="20"/>
                <w:color w:val="auto"/>
              </w:rPr>
            </w:pPr>
            <w:r>
              <w:rPr>
                <w:rFonts w:ascii="Times New Roman" w:cs="Times New Roman" w:eastAsia="Times New Roman" w:hAnsi="Times New Roman"/>
                <w:sz w:val="22"/>
                <w:szCs w:val="22"/>
                <w:color w:val="auto"/>
                <w:w w:val="97"/>
              </w:rPr>
              <w:t>Name/Title: manager; its Executive Vice President, General</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r>
        <w:trPr>
          <w:trHeight w:val="405"/>
        </w:trPr>
        <w:tc>
          <w:tcPr>
            <w:tcW w:w="32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Access Industries, LLC</w:t>
            </w:r>
          </w:p>
        </w:tc>
        <w:tc>
          <w:tcPr>
            <w:tcW w:w="2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Signature: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Access Industries Management, LLC, its</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6200" w:type="dxa"/>
            <w:vAlign w:val="bottom"/>
            <w:gridSpan w:val="2"/>
          </w:tcPr>
          <w:p>
            <w:pPr>
              <w:ind w:left="1040"/>
              <w:spacing w:after="0" w:line="243" w:lineRule="exact"/>
              <w:rPr>
                <w:sz w:val="20"/>
                <w:szCs w:val="20"/>
                <w:color w:val="auto"/>
              </w:rPr>
            </w:pPr>
            <w:r>
              <w:rPr>
                <w:rFonts w:ascii="Times New Roman" w:cs="Times New Roman" w:eastAsia="Times New Roman" w:hAnsi="Times New Roman"/>
                <w:sz w:val="22"/>
                <w:szCs w:val="22"/>
                <w:color w:val="auto"/>
                <w:w w:val="97"/>
              </w:rPr>
              <w:t>Name/Title: manager; its Executive Vice President, General</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r>
        <w:trPr>
          <w:trHeight w:val="405"/>
        </w:trPr>
        <w:tc>
          <w:tcPr>
            <w:tcW w:w="5300" w:type="dxa"/>
            <w:vAlign w:val="bottom"/>
            <w:gridSpan w:val="2"/>
          </w:tcPr>
          <w:p>
            <w:pPr>
              <w:ind w:left="2000"/>
              <w:spacing w:after="0"/>
              <w:rPr>
                <w:sz w:val="20"/>
                <w:szCs w:val="20"/>
                <w:color w:val="auto"/>
              </w:rPr>
            </w:pPr>
            <w:r>
              <w:rPr>
                <w:rFonts w:ascii="Times New Roman" w:cs="Times New Roman" w:eastAsia="Times New Roman" w:hAnsi="Times New Roman"/>
                <w:sz w:val="22"/>
                <w:szCs w:val="22"/>
                <w:color w:val="auto"/>
              </w:rPr>
              <w:t>Access Industries Management, LLC</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Signature: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Access Industries Management, LLC, its</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6200" w:type="dxa"/>
            <w:vAlign w:val="bottom"/>
            <w:gridSpan w:val="2"/>
          </w:tcPr>
          <w:p>
            <w:pPr>
              <w:ind w:left="1040"/>
              <w:spacing w:after="0" w:line="243" w:lineRule="exact"/>
              <w:rPr>
                <w:sz w:val="20"/>
                <w:szCs w:val="20"/>
                <w:color w:val="auto"/>
              </w:rPr>
            </w:pPr>
            <w:r>
              <w:rPr>
                <w:rFonts w:ascii="Times New Roman" w:cs="Times New Roman" w:eastAsia="Times New Roman" w:hAnsi="Times New Roman"/>
                <w:sz w:val="22"/>
                <w:szCs w:val="22"/>
                <w:color w:val="auto"/>
                <w:w w:val="97"/>
              </w:rPr>
              <w:t>Name/Title: manager; its Executive Vice President, General</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Counsel/Alejandro Moreno</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r>
        <w:trPr>
          <w:trHeight w:val="405"/>
        </w:trPr>
        <w:tc>
          <w:tcPr>
            <w:tcW w:w="3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Clal Industries Ltd.</w:t>
            </w:r>
          </w:p>
        </w:tc>
        <w:tc>
          <w:tcPr>
            <w:tcW w:w="2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Signature: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Nufar Malovani</w:t>
            </w: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2100" w:type="dxa"/>
            <w:vAlign w:val="bottom"/>
            <w:vMerge w:val="restart"/>
          </w:tcPr>
          <w:p>
            <w:pPr>
              <w:ind w:left="1040"/>
              <w:spacing w:after="0"/>
              <w:rPr>
                <w:sz w:val="20"/>
                <w:szCs w:val="20"/>
                <w:color w:val="auto"/>
              </w:rPr>
            </w:pPr>
            <w:r>
              <w:rPr>
                <w:rFonts w:ascii="Times New Roman" w:cs="Times New Roman" w:eastAsia="Times New Roman" w:hAnsi="Times New Roman"/>
                <w:sz w:val="22"/>
                <w:szCs w:val="22"/>
                <w:color w:val="auto"/>
                <w:w w:val="97"/>
              </w:rPr>
              <w:t>Name/Title: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Nufar Malovani /Deputy CEO and General</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Counsel</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r>
        <w:trPr>
          <w:trHeight w:val="405"/>
        </w:trPr>
        <w:tc>
          <w:tcPr>
            <w:tcW w:w="320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Signature:</w:t>
            </w:r>
          </w:p>
        </w:tc>
        <w:tc>
          <w:tcPr>
            <w:tcW w:w="2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Alon Heller</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0" w:type="dxa"/>
            <w:vAlign w:val="bottom"/>
            <w:gridSpan w:val="3"/>
          </w:tcPr>
          <w:p>
            <w:pPr>
              <w:ind w:left="2200"/>
              <w:spacing w:after="0"/>
              <w:rPr>
                <w:sz w:val="20"/>
                <w:szCs w:val="20"/>
                <w:color w:val="auto"/>
              </w:rPr>
            </w:pPr>
            <w:r>
              <w:rPr>
                <w:rFonts w:ascii="Times New Roman" w:cs="Times New Roman" w:eastAsia="Times New Roman" w:hAnsi="Times New Roman"/>
                <w:sz w:val="22"/>
                <w:szCs w:val="22"/>
                <w:color w:val="auto"/>
              </w:rPr>
              <w:t>Name/Title: Alon Heller/Vice President</w:t>
            </w:r>
          </w:p>
        </w:tc>
        <w:tc>
          <w:tcPr>
            <w:tcW w:w="0" w:type="dxa"/>
            <w:vAlign w:val="bottom"/>
          </w:tcPr>
          <w:p>
            <w:pPr>
              <w:spacing w:after="0"/>
              <w:rPr>
                <w:sz w:val="1"/>
                <w:szCs w:val="1"/>
                <w:color w:val="auto"/>
              </w:rPr>
            </w:pPr>
          </w:p>
        </w:tc>
      </w:tr>
      <w:tr>
        <w:trPr>
          <w:trHeight w:val="297"/>
        </w:trPr>
        <w:tc>
          <w:tcPr>
            <w:tcW w:w="320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Date:</w:t>
            </w:r>
          </w:p>
        </w:tc>
        <w:tc>
          <w:tcPr>
            <w:tcW w:w="2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05/28/2026</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Len Blavatnik</w:t>
            </w:r>
          </w:p>
        </w:tc>
        <w:tc>
          <w:tcPr>
            <w:tcW w:w="2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Signature: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Alejandro Moreno</w:t>
            </w: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2100" w:type="dxa"/>
            <w:vAlign w:val="bottom"/>
            <w:vMerge w:val="restart"/>
          </w:tcPr>
          <w:p>
            <w:pPr>
              <w:ind w:left="1040"/>
              <w:spacing w:after="0"/>
              <w:rPr>
                <w:sz w:val="20"/>
                <w:szCs w:val="20"/>
                <w:color w:val="auto"/>
              </w:rPr>
            </w:pPr>
            <w:r>
              <w:rPr>
                <w:rFonts w:ascii="Times New Roman" w:cs="Times New Roman" w:eastAsia="Times New Roman" w:hAnsi="Times New Roman"/>
                <w:sz w:val="22"/>
                <w:szCs w:val="22"/>
                <w:color w:val="auto"/>
                <w:w w:val="97"/>
              </w:rPr>
              <w:t>Name/Title: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By: Alejandro Moreno as Attorney-in-Fact for</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Len Blavatnik</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21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Date:</w:t>
            </w:r>
          </w:p>
        </w:tc>
        <w:tc>
          <w:tcPr>
            <w:tcW w:w="4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160"/>
          </w:cols>
          <w:pgMar w:left="360" w:top="111" w:right="379" w:bottom="1440" w:gutter="0" w:footer="0" w:header="0"/>
        </w:sectPr>
      </w:pPr>
    </w:p>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 The above signed, by signing his name hereto, executes this Amendment No. 3 to Schedule 13D pursuant to the Limited Power of Attorney executed on behalf of Mr. Blavatnik and filed herewith.</w:t>
      </w:r>
    </w:p>
    <w:sectPr>
      <w:pgSz w:w="11900" w:h="16838" w:orient="portrait"/>
      <w:cols w:equalWidth="0" w:num="2">
        <w:col w:w="1200" w:space="540"/>
        <w:col w:w="942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2026-05-28T19:17:19Z</dcterms:created>
  <dcterms:modified xsi:type="dcterms:W3CDTF">2026-05-28T19:17:19Z</dcterms:modified>
</cp:coreProperties>
</file>