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28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283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47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ALON ZVI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60"/>
        <w:spacing w:after="0" w:line="336" w:lineRule="auto"/>
        <w:rPr>
          <w:sz w:val="20"/>
          <w:szCs w:val="20"/>
          <w:color w:val="auto"/>
        </w:rPr>
      </w:pPr>
      <w:r>
        <w:rPr>
          <w:rFonts w:ascii="Times New Roman" w:cs="Times New Roman" w:eastAsia="Times New Roman" w:hAnsi="Times New Roman"/>
          <w:sz w:val="17"/>
          <w:szCs w:val="17"/>
          <w:color w:val="0000FF"/>
        </w:rPr>
        <w:t>983 UNIVERSITY AVENUE, SUITE 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TIGO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TYGO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09/16/2025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CEO / Chairperson</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473"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LOS GATOS</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95032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47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09/16/2025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51,589</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1.65</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1"/>
              </w:rPr>
              <w:t>1,223,405</w:t>
            </w:r>
            <w:r>
              <w:rPr>
                <w:rFonts w:ascii="Times New Roman" w:cs="Times New Roman" w:eastAsia="Times New Roman" w:hAnsi="Times New Roman"/>
                <w:sz w:val="22"/>
                <w:szCs w:val="22"/>
                <w:color w:val="008000"/>
                <w:w w:val="91"/>
                <w:vertAlign w:val="superscript"/>
              </w:rPr>
              <w:t>(2)(3)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1,774,826</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Alon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12,689,306</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Ventures,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par value $0.0001 per share ("Common Stock") withheld in an exempt disposition to the Issuer under Rule 16b-3(e) to satisfy tax withholding obligations of the reporting person arising out of the vesting of previously reported restricted stock units ("RSUs").</w:t>
      </w:r>
    </w:p>
    <w:p>
      <w:pPr>
        <w:spacing w:after="0" w:line="7" w:lineRule="exact"/>
        <w:rPr>
          <w:rFonts w:ascii="Times New Roman" w:cs="Times New Roman" w:eastAsia="Times New Roman" w:hAnsi="Times New Roman"/>
          <w:sz w:val="13"/>
          <w:szCs w:val="13"/>
          <w:color w:val="008000"/>
        </w:rPr>
      </w:pPr>
    </w:p>
    <w:p>
      <w:pPr>
        <w:ind w:left="40" w:right="18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57,971 shares of Common Stock underlying RSUs granted to the reporting person on August 11, 2023 (the "August 2023 Grant Date"), 222,220 shares of Common Stock underlying RSUs granted to the reporting person on September 16, 2024 (the "September 2024 Grant Date"), and 360,687 shares of Common Stock underlying RSU's granted to the reporting person on August 1, 2025 (the "August 2025 Grant Date") in each case, pursuant to the Issuer's 2023 Incentive Plan. One-Third (1/3) of the RSUs initially granted to the reporting person on August 11, 2023 vested and were delivered to the reporting person on August 11, 2024, the first anniversary of the August 2023 Grant Date, and one-third of the RSUs subject to the grant shall vest and be deliverable to the reporting person on each of the second and third anniversaries of the August 2023 Grant Date, subject to continued service through each such vesting date.</w:t>
      </w:r>
    </w:p>
    <w:p>
      <w:pPr>
        <w:spacing w:after="0" w:line="26" w:lineRule="exact"/>
        <w:rPr>
          <w:rFonts w:ascii="Times New Roman" w:cs="Times New Roman" w:eastAsia="Times New Roman" w:hAnsi="Times New Roman"/>
          <w:sz w:val="13"/>
          <w:szCs w:val="13"/>
          <w:color w:val="008000"/>
        </w:rPr>
      </w:pPr>
    </w:p>
    <w:p>
      <w:pPr>
        <w:ind w:left="40" w:right="1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(Continuation of the Footnote (2)) One-Third (1/3) of the RSUs granted to the reporting person on September 16, 2024 vested and were delivered to the reporting person on September 16, 2025, the first anniversary of the September 2024 Grant Date, and one-third of the RSUs subject to the grant shall vest and be deliverable to the reporting person on each of the second and third anniversaries of the September 2024 Grant Date, subject to continued service through each such vesting date. One-Third (1/3) of the RSUs granted to the reporting person on August 1, 2025 shall vest, and an equal number of shares of Common Stock will be deliverable to the reporting person, on each of the first three anniversaries of the August 2025 Grant Date, subject to continued service through each such vesting date.</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Bill Roeschlein,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09/18/2025</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084951" TargetMode="External"/><Relationship Id="rId14" Type="http://schemas.openxmlformats.org/officeDocument/2006/relationships/hyperlink" Target="http://www.sec.gov/cgi-bin/browse-edgar?action=getcompany&amp;CIK=0001855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2025-09-18T20:16:51Z</dcterms:created>
  <dcterms:modified xsi:type="dcterms:W3CDTF">2025-09-18T20:16:51Z</dcterms:modified>
</cp:coreProperties>
</file>